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5BE6" w:rsidRDefault="00495BE6" w:rsidP="00495BE6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281305</wp:posOffset>
                </wp:positionV>
                <wp:extent cx="6334125" cy="0"/>
                <wp:effectExtent l="5080" t="5080" r="13970" b="1397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FB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15.35pt;margin-top:22.15pt;width:49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"/>
            </w:pict>
          </mc:Fallback>
        </mc:AlternateContent>
      </w:r>
      <w:r>
        <w:rPr>
          <w:b/>
          <w:sz w:val="28"/>
          <w:szCs w:val="28"/>
        </w:rPr>
        <w:t>Materiál na zasadnutie Mestského zastupiteľstva v Stupave</w:t>
      </w:r>
    </w:p>
    <w:p w:rsidR="00495BE6" w:rsidRDefault="00495BE6" w:rsidP="00C45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F43088">
        <w:rPr>
          <w:b/>
          <w:sz w:val="28"/>
          <w:szCs w:val="28"/>
        </w:rPr>
        <w:t>19.septembra</w:t>
      </w:r>
      <w:r w:rsidR="00C455DF" w:rsidRPr="00430067">
        <w:rPr>
          <w:b/>
          <w:sz w:val="28"/>
          <w:szCs w:val="28"/>
        </w:rPr>
        <w:t xml:space="preserve"> 2016</w:t>
      </w:r>
    </w:p>
    <w:p w:rsidR="00C455DF" w:rsidRDefault="00C455DF" w:rsidP="00C455DF">
      <w:pPr>
        <w:jc w:val="center"/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3D40AB" w:rsidRDefault="003D40AB" w:rsidP="00495BE6">
      <w:pPr>
        <w:rPr>
          <w:b/>
          <w:sz w:val="28"/>
          <w:szCs w:val="28"/>
        </w:rPr>
      </w:pPr>
    </w:p>
    <w:p w:rsidR="003D40AB" w:rsidRDefault="003D40AB" w:rsidP="00495BE6">
      <w:pPr>
        <w:rPr>
          <w:b/>
          <w:sz w:val="28"/>
          <w:szCs w:val="28"/>
        </w:rPr>
      </w:pPr>
    </w:p>
    <w:p w:rsidR="00495BE6" w:rsidRDefault="00495BE6" w:rsidP="00495BE6">
      <w:pPr>
        <w:rPr>
          <w:b/>
          <w:sz w:val="28"/>
          <w:szCs w:val="28"/>
        </w:rPr>
      </w:pPr>
    </w:p>
    <w:p w:rsidR="00C455DF" w:rsidRPr="0060666C" w:rsidRDefault="00C455DF" w:rsidP="00F43088">
      <w:pPr>
        <w:pStyle w:val="Nadpis1"/>
        <w:spacing w:after="0"/>
      </w:pPr>
      <w:r w:rsidRPr="0060666C">
        <w:t xml:space="preserve">Správa hlavnej kontrolórky mesta Stupava </w:t>
      </w:r>
    </w:p>
    <w:p w:rsidR="00B60B12" w:rsidRDefault="00C455DF" w:rsidP="00F43088">
      <w:pPr>
        <w:pStyle w:val="Nadpis1"/>
        <w:spacing w:after="0"/>
      </w:pPr>
      <w:r w:rsidRPr="0060666C">
        <w:t>o výsledku kontroly</w:t>
      </w:r>
      <w:r w:rsidR="0060666C" w:rsidRPr="0060666C">
        <w:t xml:space="preserve"> </w:t>
      </w:r>
      <w:r w:rsidR="003A2A53" w:rsidRPr="00191071">
        <w:t xml:space="preserve">platných </w:t>
      </w:r>
      <w:r w:rsidR="00B60B12">
        <w:t>VZN</w:t>
      </w:r>
      <w:r w:rsidR="003A2A53" w:rsidRPr="00191071">
        <w:t xml:space="preserve"> mesta Stupava </w:t>
      </w:r>
    </w:p>
    <w:p w:rsidR="00F43088" w:rsidRPr="00F43088" w:rsidRDefault="003A2A53" w:rsidP="00F43088">
      <w:pPr>
        <w:pStyle w:val="Nadpis1"/>
        <w:spacing w:after="0"/>
        <w:rPr>
          <w:szCs w:val="24"/>
        </w:rPr>
      </w:pPr>
      <w:r w:rsidRPr="00191071">
        <w:t>podľa §</w:t>
      </w:r>
      <w:r>
        <w:t> </w:t>
      </w:r>
      <w:r w:rsidRPr="00191071">
        <w:t>6 z. č. 369/</w:t>
      </w:r>
      <w:r>
        <w:t>1990 Zb. o obecnom zriadení v</w:t>
      </w:r>
      <w:r w:rsidR="00B60B12">
        <w:t>  z. n. p.</w:t>
      </w:r>
    </w:p>
    <w:p w:rsidR="00FD0655" w:rsidRPr="00FD0655" w:rsidRDefault="00FD0655" w:rsidP="0004013F">
      <w:pPr>
        <w:pStyle w:val="Nadpis1"/>
        <w:rPr>
          <w:szCs w:val="28"/>
        </w:rPr>
      </w:pPr>
    </w:p>
    <w:p w:rsidR="00495BE6" w:rsidRPr="0060666C" w:rsidRDefault="00495BE6" w:rsidP="00FD0655">
      <w:pPr>
        <w:pStyle w:val="Nadpis1"/>
      </w:pPr>
    </w:p>
    <w:p w:rsidR="00495BE6" w:rsidRDefault="00495BE6" w:rsidP="00495BE6">
      <w:pPr>
        <w:rPr>
          <w:b/>
          <w:szCs w:val="24"/>
        </w:rPr>
      </w:pPr>
    </w:p>
    <w:p w:rsidR="00495BE6" w:rsidRDefault="00495BE6" w:rsidP="00495BE6">
      <w:pPr>
        <w:rPr>
          <w:b/>
          <w:szCs w:val="24"/>
        </w:rPr>
      </w:pPr>
    </w:p>
    <w:p w:rsidR="00495BE6" w:rsidRDefault="00495BE6" w:rsidP="00495BE6">
      <w:pPr>
        <w:spacing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1181100" cy="0"/>
                <wp:effectExtent l="5080" t="8890" r="13970" b="1016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3E6E6" id="Rovná spojovacia šípka 3" o:spid="_x0000_s1026" type="#_x0000_t32" style="position:absolute;margin-left:-2.6pt;margin-top:14.95pt;width:9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"/>
            </w:pict>
          </mc:Fallback>
        </mc:AlternateContent>
      </w:r>
      <w:r>
        <w:t xml:space="preserve">Materiál obsahuje : </w:t>
      </w:r>
    </w:p>
    <w:p w:rsidR="00495BE6" w:rsidRDefault="00495BE6" w:rsidP="0060666C">
      <w:pPr>
        <w:pStyle w:val="Odsekzoznamu"/>
        <w:numPr>
          <w:ilvl w:val="0"/>
          <w:numId w:val="1"/>
        </w:numPr>
        <w:spacing w:after="0" w:line="240" w:lineRule="auto"/>
      </w:pPr>
      <w:r>
        <w:t>Návrh uznesenia</w:t>
      </w:r>
    </w:p>
    <w:p w:rsidR="0060666C" w:rsidRDefault="0060666C" w:rsidP="0060666C">
      <w:pPr>
        <w:pStyle w:val="Odsekzoznamu"/>
        <w:numPr>
          <w:ilvl w:val="0"/>
          <w:numId w:val="1"/>
        </w:numPr>
        <w:spacing w:after="0" w:line="240" w:lineRule="auto"/>
      </w:pPr>
      <w:r>
        <w:t>Dôvodová správa</w:t>
      </w:r>
    </w:p>
    <w:p w:rsidR="0004013F" w:rsidRPr="00F43088" w:rsidRDefault="00495BE6" w:rsidP="007E1CB5">
      <w:pPr>
        <w:pStyle w:val="Odsekzoznamu"/>
        <w:numPr>
          <w:ilvl w:val="0"/>
          <w:numId w:val="1"/>
        </w:numPr>
        <w:spacing w:after="0" w:line="240" w:lineRule="auto"/>
        <w:rPr>
          <w:sz w:val="22"/>
        </w:rPr>
      </w:pPr>
      <w:r>
        <w:t xml:space="preserve">Materiál: </w:t>
      </w:r>
      <w:r w:rsidR="0060666C" w:rsidRPr="0060666C">
        <w:t xml:space="preserve">Správa hlavnej kontrolórky mesta Stupava o výsledku </w:t>
      </w:r>
      <w:r w:rsidR="0004013F">
        <w:t>kontroly</w:t>
      </w:r>
      <w:r w:rsidR="0004013F" w:rsidRPr="00F43088">
        <w:rPr>
          <w:szCs w:val="24"/>
        </w:rPr>
        <w:t xml:space="preserve"> </w:t>
      </w:r>
      <w:r w:rsidR="00B60B12" w:rsidRPr="00191071">
        <w:t>platných všeobecne záväzných nariadení mesta Stupava podľa §</w:t>
      </w:r>
      <w:r w:rsidR="00B60B12">
        <w:t> </w:t>
      </w:r>
      <w:r w:rsidR="00B60B12" w:rsidRPr="00191071">
        <w:t>6 z. č. 369/1990 Zb. o obecnom zriadení v z. n. p.</w:t>
      </w:r>
      <w:r w:rsidR="00F43088" w:rsidRPr="00E07ABC">
        <w:t>.</w:t>
      </w:r>
    </w:p>
    <w:p w:rsidR="00495BE6" w:rsidRDefault="00495BE6" w:rsidP="00495BE6">
      <w:pPr>
        <w:spacing w:after="0" w:line="240" w:lineRule="auto"/>
      </w:pPr>
    </w:p>
    <w:p w:rsidR="003D40AB" w:rsidRDefault="003D40AB" w:rsidP="00495BE6">
      <w:pPr>
        <w:spacing w:after="0" w:line="240" w:lineRule="auto"/>
      </w:pPr>
    </w:p>
    <w:p w:rsidR="003D40AB" w:rsidRDefault="003D40AB" w:rsidP="00495BE6">
      <w:pPr>
        <w:spacing w:after="0" w:line="240" w:lineRule="auto"/>
      </w:pPr>
    </w:p>
    <w:p w:rsidR="00495BE6" w:rsidRDefault="00495BE6" w:rsidP="00495BE6">
      <w:pPr>
        <w:spacing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205105</wp:posOffset>
                </wp:positionV>
                <wp:extent cx="714375" cy="0"/>
                <wp:effectExtent l="5080" t="5080" r="13970" b="1397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74FCC" id="Rovná spojovacia šípka 2" o:spid="_x0000_s1026" type="#_x0000_t32" style="position:absolute;margin-left:-2.6pt;margin-top:16.15pt;width: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AaPgZs3AgAASgQAAA4AAAAAAAAAAAAA&#10;AAAALgIAAGRycy9lMm9Eb2MueG1sUEsBAi0AFAAGAAgAAAAhAC03ykndAAAACAEAAA8AAAAAAAAA&#10;AAAAAAAAkQQAAGRycy9kb3ducmV2LnhtbFBLBQYAAAAABAAEAPMAAACbBQAAAAA=&#10;"/>
            </w:pict>
          </mc:Fallback>
        </mc:AlternateContent>
      </w:r>
      <w:r>
        <w:t>Predkladá:</w:t>
      </w:r>
    </w:p>
    <w:p w:rsidR="00495BE6" w:rsidRDefault="00495BE6" w:rsidP="00495BE6">
      <w:pPr>
        <w:spacing w:after="0" w:line="240" w:lineRule="auto"/>
      </w:pPr>
      <w:r>
        <w:t>Mgr.</w:t>
      </w:r>
      <w:r w:rsidR="00FD0655">
        <w:t xml:space="preserve"> </w:t>
      </w:r>
      <w:r>
        <w:t>Margita Hricová</w:t>
      </w:r>
    </w:p>
    <w:p w:rsidR="00495BE6" w:rsidRDefault="00495BE6" w:rsidP="00495BE6">
      <w:pPr>
        <w:spacing w:after="0" w:line="240" w:lineRule="auto"/>
      </w:pPr>
      <w:r>
        <w:t xml:space="preserve">hlavná kontrolórka mesta Stupava </w:t>
      </w:r>
    </w:p>
    <w:p w:rsidR="003D40AB" w:rsidRDefault="003D40AB" w:rsidP="00495BE6">
      <w:pPr>
        <w:spacing w:after="0" w:line="240" w:lineRule="auto"/>
      </w:pPr>
    </w:p>
    <w:p w:rsidR="00495BE6" w:rsidRDefault="00495BE6" w:rsidP="00495BE6">
      <w:pPr>
        <w:spacing w:after="0" w:line="240" w:lineRule="auto"/>
      </w:pPr>
    </w:p>
    <w:p w:rsidR="00495BE6" w:rsidRDefault="00495BE6" w:rsidP="00495BE6">
      <w:pPr>
        <w:spacing w:after="24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800100" cy="0"/>
                <wp:effectExtent l="5080" t="9525" r="13970" b="952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9B38E" id="Rovná spojovacia šípka 1" o:spid="_x0000_s1026" type="#_x0000_t32" style="position:absolute;margin-left:-2.6pt;margin-top:15.7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FQuU2E1AgAASgQAAA4AAAAAAAAAAAAAAAAA&#10;LgIAAGRycy9lMm9Eb2MueG1sUEsBAi0AFAAGAAgAAAAhADoDDlvcAAAACAEAAA8AAAAAAAAAAAAA&#10;AAAAjwQAAGRycy9kb3ducmV2LnhtbFBLBQYAAAAABAAEAPMAAACYBQAAAAA=&#10;"/>
            </w:pict>
          </mc:Fallback>
        </mc:AlternateContent>
      </w:r>
      <w:r>
        <w:t xml:space="preserve">Vypracovala : </w:t>
      </w:r>
    </w:p>
    <w:p w:rsidR="00495BE6" w:rsidRDefault="00495BE6" w:rsidP="00495BE6">
      <w:pPr>
        <w:spacing w:after="0" w:line="240" w:lineRule="auto"/>
      </w:pPr>
      <w:r>
        <w:t>Mgr.</w:t>
      </w:r>
      <w:r w:rsidR="00FD0655">
        <w:t xml:space="preserve"> </w:t>
      </w:r>
      <w:r>
        <w:t>Margita Hricová</w:t>
      </w:r>
    </w:p>
    <w:p w:rsidR="00F43088" w:rsidRDefault="00495BE6" w:rsidP="00010F74">
      <w:pPr>
        <w:spacing w:after="0"/>
      </w:pPr>
      <w:r>
        <w:t xml:space="preserve">hlavná kontrolórka mesta Stupava </w:t>
      </w:r>
      <w:r w:rsidR="00F43088">
        <w:br w:type="page"/>
      </w:r>
    </w:p>
    <w:p w:rsidR="00FD0655" w:rsidRDefault="00FD0655" w:rsidP="00010F74">
      <w:pPr>
        <w:jc w:val="center"/>
        <w:rPr>
          <w:b/>
          <w:sz w:val="28"/>
          <w:szCs w:val="28"/>
        </w:rPr>
      </w:pPr>
      <w:r w:rsidRPr="00010F74">
        <w:rPr>
          <w:b/>
          <w:sz w:val="28"/>
          <w:szCs w:val="28"/>
        </w:rPr>
        <w:lastRenderedPageBreak/>
        <w:t>Návrh uznesenia:</w:t>
      </w:r>
    </w:p>
    <w:p w:rsidR="00010F74" w:rsidRDefault="00010F74" w:rsidP="00010F74">
      <w:pPr>
        <w:jc w:val="center"/>
        <w:rPr>
          <w:b/>
          <w:sz w:val="28"/>
          <w:szCs w:val="28"/>
        </w:rPr>
      </w:pPr>
    </w:p>
    <w:p w:rsidR="00010F74" w:rsidRPr="00010F74" w:rsidRDefault="00010F74" w:rsidP="00010F74">
      <w:pPr>
        <w:jc w:val="center"/>
        <w:rPr>
          <w:b/>
          <w:sz w:val="28"/>
          <w:szCs w:val="28"/>
        </w:rPr>
      </w:pPr>
    </w:p>
    <w:p w:rsidR="00010F74" w:rsidRDefault="00FD0655" w:rsidP="00DA53EA">
      <w:pPr>
        <w:spacing w:after="0" w:line="240" w:lineRule="auto"/>
        <w:rPr>
          <w:sz w:val="22"/>
        </w:rPr>
      </w:pPr>
      <w:r w:rsidRPr="003F4DA7">
        <w:t>M</w:t>
      </w:r>
      <w:r w:rsidR="00010F74">
        <w:t>estské zastupiteľ</w:t>
      </w:r>
      <w:r w:rsidRPr="003F4DA7">
        <w:t>s</w:t>
      </w:r>
      <w:r w:rsidR="00010F74">
        <w:t>tvo</w:t>
      </w:r>
      <w:r w:rsidR="00010F74">
        <w:rPr>
          <w:sz w:val="22"/>
        </w:rPr>
        <w:t xml:space="preserve"> v Stupave:</w:t>
      </w:r>
    </w:p>
    <w:p w:rsidR="00010F74" w:rsidRDefault="00010F74" w:rsidP="00DA53EA">
      <w:pPr>
        <w:spacing w:after="0" w:line="240" w:lineRule="auto"/>
        <w:rPr>
          <w:sz w:val="22"/>
        </w:rPr>
      </w:pPr>
    </w:p>
    <w:p w:rsidR="00B60B12" w:rsidRPr="00024386" w:rsidRDefault="00FD0655" w:rsidP="00024386">
      <w:pPr>
        <w:pStyle w:val="Odsekzoznamu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010F74">
        <w:rPr>
          <w:b/>
        </w:rPr>
        <w:t>berie na vedomie</w:t>
      </w:r>
      <w:r w:rsidR="00DA53EA" w:rsidRPr="00DA53EA">
        <w:t xml:space="preserve"> </w:t>
      </w:r>
      <w:r w:rsidR="00DA53EA">
        <w:t>s</w:t>
      </w:r>
      <w:r w:rsidR="00DA53EA" w:rsidRPr="0060666C">
        <w:t>práv</w:t>
      </w:r>
      <w:r w:rsidR="00DA53EA">
        <w:t>u</w:t>
      </w:r>
      <w:r w:rsidR="00DA53EA" w:rsidRPr="0060666C">
        <w:t xml:space="preserve"> hlavnej kontrolórky mest</w:t>
      </w:r>
      <w:r w:rsidR="00DA53EA">
        <w:t>a Stupava o výsledku kontroly</w:t>
      </w:r>
      <w:r w:rsidR="00010F74">
        <w:t xml:space="preserve"> </w:t>
      </w:r>
      <w:r w:rsidR="00B60B12" w:rsidRPr="00191071">
        <w:t>platných všeobecne záväzných nariadení mesta Stupava podľa §</w:t>
      </w:r>
      <w:r w:rsidR="00B60B12">
        <w:t> </w:t>
      </w:r>
      <w:r w:rsidR="00B60B12" w:rsidRPr="00191071">
        <w:t>6 z. č. 369/1990 Zb. o obecnom zriadení v z. n. p.</w:t>
      </w:r>
    </w:p>
    <w:p w:rsidR="00F15465" w:rsidRDefault="00F15465" w:rsidP="00DA53EA">
      <w:pPr>
        <w:spacing w:after="0" w:line="240" w:lineRule="auto"/>
      </w:pPr>
    </w:p>
    <w:p w:rsidR="00010F74" w:rsidRDefault="00010F74">
      <w:pPr>
        <w:spacing w:after="200"/>
        <w:jc w:val="left"/>
      </w:pPr>
      <w:r>
        <w:br w:type="page"/>
      </w:r>
    </w:p>
    <w:p w:rsidR="00495BE6" w:rsidRDefault="00495BE6" w:rsidP="00495BE6">
      <w:pPr>
        <w:tabs>
          <w:tab w:val="left" w:pos="301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Dôvodová správa</w:t>
      </w:r>
    </w:p>
    <w:p w:rsidR="00495BE6" w:rsidRDefault="00495BE6" w:rsidP="00495BE6"/>
    <w:p w:rsidR="00DA53EA" w:rsidRDefault="00F9648B" w:rsidP="007264A9">
      <w:pPr>
        <w:ind w:firstLine="709"/>
      </w:pPr>
      <w:r w:rsidRPr="00430067">
        <w:t>V zmysle ustanovenia § 18 f</w:t>
      </w:r>
      <w:r>
        <w:t xml:space="preserve"> ods. 1 písm. d) zákona č. 369/1990 Zb. o obecnom zriadení v z.n.p. je úlohou hlavného kontrolóra predložiť správu o výsledkoch kontroly priamo </w:t>
      </w:r>
      <w:r w:rsidR="00DA53EA">
        <w:t>mestskému</w:t>
      </w:r>
      <w:r>
        <w:t xml:space="preserve"> zastupiteľstvu na jeho najbližšom zasadnutí. </w:t>
      </w:r>
      <w:r w:rsidR="00DA53EA">
        <w:t>V zmysle Pravidiel kontrolnej</w:t>
      </w:r>
      <w:r>
        <w:t xml:space="preserve"> činnosti hl</w:t>
      </w:r>
      <w:r w:rsidR="00DA53EA">
        <w:t>avného kontrolóra mesta Stupava</w:t>
      </w:r>
      <w:r>
        <w:t xml:space="preserve"> </w:t>
      </w:r>
      <w:r w:rsidR="00DA53EA">
        <w:t>je správa o výsledkoch kontroly predkladaná MsZ vyhotovená ako verejný informatívny materiál so zreteľom na dodržanie osobitných predpisov upravujúcich napr. ochranu osobných údajov, obchodné tajomstvo, daňové tajomstvo a pod. v súlade s princípom dodržiavania práva na informácie a verejnú kontrolu.</w:t>
      </w:r>
    </w:p>
    <w:p w:rsidR="00E55A46" w:rsidRDefault="00817326" w:rsidP="007264A9">
      <w:pPr>
        <w:ind w:firstLine="709"/>
      </w:pPr>
      <w:r>
        <w:t xml:space="preserve">Oprávnenie ku kontrole hlavnej </w:t>
      </w:r>
      <w:r w:rsidR="00327137">
        <w:t>kont</w:t>
      </w:r>
      <w:r>
        <w:t>rolórke vyplýva z</w:t>
      </w:r>
      <w:r w:rsidR="002845C8">
        <w:t xml:space="preserve"> ustanovenia § 18d ods.2 písm. </w:t>
      </w:r>
      <w:r w:rsidR="0004013F">
        <w:t>a</w:t>
      </w:r>
      <w:r w:rsidR="00327137">
        <w:t xml:space="preserve">) zákona o obecnom zriadení, podľa ktorého kontrolnej činnosti </w:t>
      </w:r>
      <w:r w:rsidR="0004013F">
        <w:t>podlieha Mestský úrad</w:t>
      </w:r>
      <w:r w:rsidR="00327137">
        <w:t xml:space="preserve">. </w:t>
      </w:r>
      <w:r w:rsidR="00F9648B" w:rsidRPr="00310D81">
        <w:t xml:space="preserve">Uskutočnená kontrola </w:t>
      </w:r>
      <w:r w:rsidR="007264A9" w:rsidRPr="00191071">
        <w:t xml:space="preserve">platných </w:t>
      </w:r>
      <w:r w:rsidR="007264A9">
        <w:t>VZN</w:t>
      </w:r>
      <w:r w:rsidR="007264A9" w:rsidRPr="00191071">
        <w:t xml:space="preserve"> mesta Stupava podľa §</w:t>
      </w:r>
      <w:r w:rsidR="007264A9">
        <w:t> </w:t>
      </w:r>
      <w:r w:rsidR="007264A9" w:rsidRPr="00191071">
        <w:t>6 z. č. 369/1990 Zb. o obecnom zriadení v z. n. p.</w:t>
      </w:r>
      <w:r w:rsidR="00310D81">
        <w:t xml:space="preserve"> </w:t>
      </w:r>
      <w:r w:rsidR="00F9648B" w:rsidRPr="00310D81">
        <w:rPr>
          <w:szCs w:val="24"/>
        </w:rPr>
        <w:t>bola vykonaná v </w:t>
      </w:r>
      <w:r w:rsidR="003771D9">
        <w:rPr>
          <w:szCs w:val="24"/>
        </w:rPr>
        <w:t>zmysle</w:t>
      </w:r>
      <w:r w:rsidR="002845C8" w:rsidRPr="00310D81">
        <w:rPr>
          <w:szCs w:val="24"/>
        </w:rPr>
        <w:t xml:space="preserve"> </w:t>
      </w:r>
      <w:r w:rsidR="00F9648B" w:rsidRPr="00310D81">
        <w:rPr>
          <w:szCs w:val="24"/>
        </w:rPr>
        <w:t>Plán</w:t>
      </w:r>
      <w:r w:rsidR="003771D9">
        <w:rPr>
          <w:szCs w:val="24"/>
        </w:rPr>
        <w:t>u</w:t>
      </w:r>
      <w:r w:rsidR="00F9648B" w:rsidRPr="00310D81">
        <w:rPr>
          <w:szCs w:val="24"/>
        </w:rPr>
        <w:t xml:space="preserve"> kontrolnej činnosti hlavnej</w:t>
      </w:r>
      <w:r w:rsidR="002845C8" w:rsidRPr="00310D81">
        <w:rPr>
          <w:szCs w:val="24"/>
        </w:rPr>
        <w:t xml:space="preserve"> kontrolórky mesta Stupava na </w:t>
      </w:r>
      <w:r w:rsidR="007264A9">
        <w:rPr>
          <w:szCs w:val="24"/>
        </w:rPr>
        <w:t>I</w:t>
      </w:r>
      <w:r w:rsidR="002845C8" w:rsidRPr="00310D81">
        <w:rPr>
          <w:szCs w:val="24"/>
        </w:rPr>
        <w:t xml:space="preserve">I. polrok 2016, </w:t>
      </w:r>
      <w:r w:rsidR="007264A9">
        <w:t>konkrétne s 1</w:t>
      </w:r>
      <w:r w:rsidR="00E55A46">
        <w:t xml:space="preserve">. bodom. </w:t>
      </w:r>
    </w:p>
    <w:p w:rsidR="007264A9" w:rsidRDefault="00377BC2" w:rsidP="007264A9">
      <w:pPr>
        <w:ind w:firstLine="709"/>
        <w:rPr>
          <w:szCs w:val="24"/>
        </w:rPr>
      </w:pPr>
      <w:r>
        <w:rPr>
          <w:szCs w:val="24"/>
        </w:rPr>
        <w:t xml:space="preserve">Kontrola bola vykonaná </w:t>
      </w:r>
      <w:r w:rsidR="0004013F">
        <w:rPr>
          <w:szCs w:val="24"/>
        </w:rPr>
        <w:t xml:space="preserve">v súlade s § 18d ods.1 zákona č. 369/1990 </w:t>
      </w:r>
      <w:r>
        <w:rPr>
          <w:szCs w:val="24"/>
        </w:rPr>
        <w:t xml:space="preserve">Zb. o obecnom zriadení v z.n.p., </w:t>
      </w:r>
      <w:r w:rsidR="00E55A46">
        <w:rPr>
          <w:szCs w:val="24"/>
        </w:rPr>
        <w:t>v súlade s </w:t>
      </w:r>
      <w:r w:rsidR="00E55A46">
        <w:t>Pravid</w:t>
      </w:r>
      <w:r w:rsidR="0004013F">
        <w:t>l</w:t>
      </w:r>
      <w:r w:rsidR="00E55A46">
        <w:t>ami</w:t>
      </w:r>
      <w:r w:rsidR="0004013F">
        <w:t xml:space="preserve"> kontrolnej činnosti hl</w:t>
      </w:r>
      <w:r>
        <w:t xml:space="preserve">avného kontrolóra mesta Stupava, </w:t>
      </w:r>
      <w:r>
        <w:rPr>
          <w:szCs w:val="24"/>
        </w:rPr>
        <w:t>v súlade so zákonom č. 357/2015</w:t>
      </w:r>
      <w:r w:rsidRPr="000212BB">
        <w:rPr>
          <w:szCs w:val="24"/>
        </w:rPr>
        <w:t xml:space="preserve"> Z.z. o finančnej kontrol</w:t>
      </w:r>
      <w:r>
        <w:rPr>
          <w:szCs w:val="24"/>
        </w:rPr>
        <w:t xml:space="preserve">e a audite a o zmene a doplnení niektorých zákonov. </w:t>
      </w:r>
    </w:p>
    <w:p w:rsidR="007264A9" w:rsidRPr="00466640" w:rsidRDefault="007264A9" w:rsidP="007264A9">
      <w:pPr>
        <w:spacing w:after="0"/>
        <w:rPr>
          <w:szCs w:val="24"/>
        </w:rPr>
      </w:pPr>
      <w:r>
        <w:rPr>
          <w:szCs w:val="24"/>
        </w:rPr>
        <w:tab/>
      </w:r>
      <w:r w:rsidRPr="00466640">
        <w:rPr>
          <w:szCs w:val="24"/>
        </w:rPr>
        <w:t>V § 6 zákona o obecnom zriadení je konkretizovaný inštitút všeobecne záväzných nariadení obce vychádzajúc z článku 68 a 71 Ústavy SR.</w:t>
      </w:r>
    </w:p>
    <w:p w:rsidR="007264A9" w:rsidRDefault="007264A9" w:rsidP="004812DC">
      <w:pPr>
        <w:spacing w:after="0"/>
        <w:rPr>
          <w:szCs w:val="24"/>
        </w:rPr>
      </w:pPr>
    </w:p>
    <w:p w:rsidR="007264A9" w:rsidRDefault="007264A9" w:rsidP="004812DC">
      <w:pPr>
        <w:spacing w:after="0"/>
        <w:ind w:left="709" w:hanging="709"/>
        <w:rPr>
          <w:szCs w:val="24"/>
        </w:rPr>
      </w:pPr>
      <w:r w:rsidRPr="00466640">
        <w:rPr>
          <w:b/>
          <w:szCs w:val="24"/>
        </w:rPr>
        <w:t>Článok 68</w:t>
      </w:r>
      <w:r w:rsidRPr="00466640">
        <w:rPr>
          <w:szCs w:val="24"/>
        </w:rPr>
        <w:t xml:space="preserve">: </w:t>
      </w:r>
      <w:r>
        <w:rPr>
          <w:szCs w:val="24"/>
        </w:rPr>
        <w:t>„</w:t>
      </w:r>
      <w:r>
        <w:rPr>
          <w:szCs w:val="24"/>
        </w:rPr>
        <w:tab/>
      </w:r>
      <w:r w:rsidRPr="00466640">
        <w:rPr>
          <w:szCs w:val="24"/>
        </w:rPr>
        <w:t xml:space="preserve">Vo veciach územnej samosprávy a na zabezpečenie úloh vyplývajúcich pre </w:t>
      </w:r>
      <w:r>
        <w:rPr>
          <w:szCs w:val="24"/>
        </w:rPr>
        <w:tab/>
      </w:r>
      <w:r w:rsidRPr="00466640">
        <w:rPr>
          <w:szCs w:val="24"/>
        </w:rPr>
        <w:t xml:space="preserve">samosprávu zo zákona môže obec a vyšší územný celok vydávať všeobecne </w:t>
      </w:r>
      <w:r>
        <w:rPr>
          <w:szCs w:val="24"/>
        </w:rPr>
        <w:tab/>
      </w:r>
      <w:r w:rsidRPr="00466640">
        <w:rPr>
          <w:szCs w:val="24"/>
        </w:rPr>
        <w:t>záväzné nariadenia.“</w:t>
      </w:r>
    </w:p>
    <w:p w:rsidR="007264A9" w:rsidRPr="00466640" w:rsidRDefault="007264A9" w:rsidP="004812DC">
      <w:pPr>
        <w:spacing w:after="0"/>
        <w:rPr>
          <w:szCs w:val="24"/>
        </w:rPr>
      </w:pPr>
    </w:p>
    <w:p w:rsidR="007264A9" w:rsidRPr="00466640" w:rsidRDefault="007264A9" w:rsidP="004812D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szCs w:val="24"/>
        </w:rPr>
      </w:pPr>
      <w:r w:rsidRPr="00466640">
        <w:rPr>
          <w:b/>
          <w:szCs w:val="24"/>
        </w:rPr>
        <w:t>Článok 71</w:t>
      </w:r>
      <w:r w:rsidRPr="00466640">
        <w:rPr>
          <w:szCs w:val="24"/>
        </w:rPr>
        <w:t xml:space="preserve">: „ </w:t>
      </w:r>
      <w:r>
        <w:rPr>
          <w:szCs w:val="24"/>
        </w:rPr>
        <w:tab/>
      </w:r>
      <w:r w:rsidRPr="00466640">
        <w:rPr>
          <w:szCs w:val="24"/>
        </w:rPr>
        <w:t xml:space="preserve">(1) Na obec a vyšší územný celok možno zákonom preniesť výkon určených úloh miestnej štátnej správy. Náklady takto preneseného výkonu štátnej správy uhrádza štát. </w:t>
      </w:r>
    </w:p>
    <w:p w:rsidR="007264A9" w:rsidRPr="00466640" w:rsidRDefault="007264A9" w:rsidP="004812D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66640">
        <w:rPr>
          <w:szCs w:val="24"/>
        </w:rPr>
        <w:t xml:space="preserve"> </w:t>
      </w:r>
    </w:p>
    <w:p w:rsidR="007264A9" w:rsidRPr="00466640" w:rsidRDefault="007264A9" w:rsidP="004812D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szCs w:val="24"/>
        </w:rPr>
      </w:pPr>
      <w:r w:rsidRPr="00466640">
        <w:rPr>
          <w:szCs w:val="24"/>
        </w:rPr>
        <w:tab/>
        <w:t>(2) Pri výkone štátnej správy môže obec a vyšší územný celok vydávať v rámci svojej územnej pôsobnosti na základe splnomocnenia v zákone a v jeho medziach všeobecne záväzné nariadenia. Vý</w:t>
      </w:r>
      <w:r>
        <w:rPr>
          <w:szCs w:val="24"/>
        </w:rPr>
        <w:t>kon štátnej správy prenesený na </w:t>
      </w:r>
      <w:r w:rsidRPr="00466640">
        <w:rPr>
          <w:szCs w:val="24"/>
        </w:rPr>
        <w:t>obec alebo na vyšší územný celok zákonom riadi a kontroluje vlá</w:t>
      </w:r>
      <w:r>
        <w:rPr>
          <w:szCs w:val="24"/>
        </w:rPr>
        <w:t>da. Podrobnosti ustanoví zákon.“</w:t>
      </w:r>
    </w:p>
    <w:p w:rsidR="00AA1151" w:rsidRDefault="00F9648B" w:rsidP="007264A9">
      <w:pPr>
        <w:ind w:firstLine="709"/>
        <w:sectPr w:rsidR="00AA1151" w:rsidSect="00720340"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>
        <w:br w:type="page"/>
      </w:r>
    </w:p>
    <w:p w:rsidR="00F9648B" w:rsidRPr="007508F1" w:rsidRDefault="00F9648B" w:rsidP="007508F1">
      <w:pPr>
        <w:pStyle w:val="Nadpis1"/>
        <w:rPr>
          <w:szCs w:val="28"/>
        </w:rPr>
      </w:pPr>
      <w:r w:rsidRPr="0060666C">
        <w:lastRenderedPageBreak/>
        <w:t xml:space="preserve">Správa hlavnej kontrolórky mesta Stupava o výsledku kontroly </w:t>
      </w:r>
      <w:r w:rsidR="00B94AFF" w:rsidRPr="00191071">
        <w:t>platných všeobecne záväzných nariadení mesta Stupava podľa §</w:t>
      </w:r>
      <w:r w:rsidR="00B94AFF">
        <w:t> </w:t>
      </w:r>
      <w:r w:rsidR="00B94AFF" w:rsidRPr="00191071">
        <w:t>6 z. č. 369/1990 Zb. o obecnom zriadení v z. n. p.</w:t>
      </w:r>
    </w:p>
    <w:p w:rsidR="00F9648B" w:rsidRDefault="00F9648B" w:rsidP="00F9648B">
      <w:pPr>
        <w:ind w:firstLine="708"/>
      </w:pPr>
    </w:p>
    <w:p w:rsidR="00524C21" w:rsidRDefault="00F9648B" w:rsidP="00DD03B6">
      <w:pPr>
        <w:ind w:firstLine="708"/>
      </w:pPr>
      <w:r w:rsidRPr="00430067">
        <w:t>V zmysle ustanovenia § 18 f</w:t>
      </w:r>
      <w:r>
        <w:t xml:space="preserve"> ods. 1 písm. d) zákona č. 369/1990 Zb. o obecnom zriadení v z. n. p. </w:t>
      </w:r>
      <w:r w:rsidRPr="002140B3">
        <w:rPr>
          <w:b/>
        </w:rPr>
        <w:t>predkladám správu</w:t>
      </w:r>
      <w:r>
        <w:t xml:space="preserve"> o výsledku kontroly</w:t>
      </w:r>
      <w:r w:rsidR="00455C21">
        <w:rPr>
          <w:szCs w:val="24"/>
        </w:rPr>
        <w:t xml:space="preserve"> </w:t>
      </w:r>
      <w:r w:rsidR="00882A52" w:rsidRPr="00191071">
        <w:t xml:space="preserve">platných </w:t>
      </w:r>
      <w:r w:rsidR="00882A52">
        <w:t>VZN</w:t>
      </w:r>
      <w:r w:rsidR="00882A52" w:rsidRPr="00191071">
        <w:t xml:space="preserve"> mesta Stupava podľa §</w:t>
      </w:r>
      <w:r w:rsidR="00882A52">
        <w:t> 6 zákona č. </w:t>
      </w:r>
      <w:r w:rsidR="00882A52" w:rsidRPr="00191071">
        <w:t>369/1990 Zb. o obecnom zriadení v z. n. p</w:t>
      </w:r>
      <w:r w:rsidR="00DD03B6" w:rsidRPr="00E07ABC">
        <w:t>.</w:t>
      </w:r>
    </w:p>
    <w:p w:rsidR="00DD03B6" w:rsidRDefault="00DD03B6" w:rsidP="00DD03B6">
      <w:pPr>
        <w:ind w:firstLine="708"/>
      </w:pPr>
    </w:p>
    <w:tbl>
      <w:tblPr>
        <w:tblW w:w="8867" w:type="dxa"/>
        <w:tblLook w:val="04A0" w:firstRow="1" w:lastRow="0" w:firstColumn="1" w:lastColumn="0" w:noHBand="0" w:noVBand="1"/>
      </w:tblPr>
      <w:tblGrid>
        <w:gridCol w:w="8867"/>
      </w:tblGrid>
      <w:tr w:rsidR="0035654A" w:rsidRPr="00532170" w:rsidTr="0035654A">
        <w:tc>
          <w:tcPr>
            <w:tcW w:w="8867" w:type="dxa"/>
            <w:shd w:val="clear" w:color="auto" w:fill="auto"/>
          </w:tcPr>
          <w:tbl>
            <w:tblPr>
              <w:tblW w:w="8651" w:type="dxa"/>
              <w:tblLook w:val="04A0" w:firstRow="1" w:lastRow="0" w:firstColumn="1" w:lastColumn="0" w:noHBand="0" w:noVBand="1"/>
            </w:tblPr>
            <w:tblGrid>
              <w:gridCol w:w="2565"/>
              <w:gridCol w:w="6086"/>
            </w:tblGrid>
            <w:tr w:rsidR="0035654A" w:rsidRPr="003127A4" w:rsidTr="00772A7E">
              <w:trPr>
                <w:trHeight w:val="347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 w:line="240" w:lineRule="auto"/>
                  </w:pPr>
                  <w:r>
                    <w:rPr>
                      <w:b/>
                      <w:szCs w:val="24"/>
                    </w:rPr>
                    <w:t>Oprávnená osoba</w:t>
                  </w:r>
                  <w:r w:rsidRPr="003127A4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3127A4" w:rsidRDefault="0035654A" w:rsidP="00F34E91">
                  <w:pPr>
                    <w:pStyle w:val="Zarkazkladnhotextu"/>
                    <w:spacing w:before="60"/>
                    <w:ind w:left="0" w:firstLine="34"/>
                    <w:rPr>
                      <w:szCs w:val="24"/>
                    </w:rPr>
                  </w:pPr>
                  <w:r w:rsidRPr="003127A4">
                    <w:rPr>
                      <w:szCs w:val="24"/>
                    </w:rPr>
                    <w:t>h</w:t>
                  </w:r>
                  <w:r>
                    <w:rPr>
                      <w:szCs w:val="24"/>
                    </w:rPr>
                    <w:t>lavná kontrolórka mesta Stupava Mgr. Margita Hricová,</w:t>
                  </w:r>
                </w:p>
              </w:tc>
            </w:tr>
            <w:tr w:rsidR="0035654A" w:rsidRPr="003127A4" w:rsidTr="00772A7E">
              <w:trPr>
                <w:trHeight w:val="840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 w:line="240" w:lineRule="auto"/>
                  </w:pPr>
                  <w:r>
                    <w:rPr>
                      <w:b/>
                      <w:szCs w:val="24"/>
                    </w:rPr>
                    <w:t>Povinná osoba</w:t>
                  </w:r>
                  <w:r w:rsidRPr="003127A4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3127A4" w:rsidRDefault="00DD03B6" w:rsidP="00F34E91">
                  <w:pPr>
                    <w:pStyle w:val="Zarkazkladnhotextu"/>
                    <w:spacing w:before="60"/>
                    <w:ind w:left="0" w:firstLine="34"/>
                  </w:pPr>
                  <w:r>
                    <w:rPr>
                      <w:szCs w:val="24"/>
                    </w:rPr>
                    <w:t>Mestský úrad Stupava, Hlavná 1/24, 900 31 Stupava, IČO: 305081, DIČ: 2020643724, (ďalej len „ MsÚ Stupava“),</w:t>
                  </w:r>
                </w:p>
              </w:tc>
            </w:tr>
            <w:tr w:rsidR="0035654A" w:rsidRPr="003127A4" w:rsidTr="00772A7E">
              <w:trPr>
                <w:trHeight w:val="444"/>
              </w:trPr>
              <w:tc>
                <w:tcPr>
                  <w:tcW w:w="2565" w:type="dxa"/>
                  <w:shd w:val="clear" w:color="auto" w:fill="auto"/>
                </w:tcPr>
                <w:p w:rsidR="0035654A" w:rsidRDefault="0035654A" w:rsidP="00F34E91">
                  <w:pPr>
                    <w:spacing w:before="60" w:line="240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Predmet kontroly: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5A630F" w:rsidP="00B94AFF">
                  <w:pPr>
                    <w:pStyle w:val="Zarkazkladnhotextu"/>
                    <w:spacing w:before="60"/>
                    <w:ind w:left="0"/>
                    <w:rPr>
                      <w:szCs w:val="24"/>
                      <w:highlight w:val="yellow"/>
                    </w:rPr>
                  </w:pPr>
                  <w:r>
                    <w:t xml:space="preserve">kontrola </w:t>
                  </w:r>
                  <w:r w:rsidR="00B94AFF" w:rsidRPr="00191071">
                    <w:t xml:space="preserve">platných </w:t>
                  </w:r>
                  <w:r w:rsidR="00B94AFF">
                    <w:t>VZN</w:t>
                  </w:r>
                  <w:r w:rsidR="00B94AFF" w:rsidRPr="00191071">
                    <w:t xml:space="preserve"> mesta Stupava podľa §</w:t>
                  </w:r>
                  <w:r w:rsidR="00B94AFF">
                    <w:t> 6 zákona č. </w:t>
                  </w:r>
                  <w:r w:rsidR="00B94AFF" w:rsidRPr="00191071">
                    <w:t>369/1990 Zb. o obecnom zriadení v z. n. p.</w:t>
                  </w:r>
                  <w:r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457E3E">
              <w:trPr>
                <w:trHeight w:val="879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/>
                  </w:pPr>
                  <w:r w:rsidRPr="003127A4">
                    <w:rPr>
                      <w:b/>
                      <w:szCs w:val="24"/>
                    </w:rPr>
                    <w:t>Cieľ kontroly: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B94AFF" w:rsidP="00772A7E">
                  <w:pPr>
                    <w:spacing w:before="60"/>
                    <w:rPr>
                      <w:highlight w:val="yellow"/>
                    </w:rPr>
                  </w:pPr>
                  <w:r>
                    <w:rPr>
                      <w:szCs w:val="24"/>
                    </w:rPr>
                    <w:t>overiť súlad vybraných VZN mesta Stupava s platnými právnymi predpismi</w:t>
                  </w:r>
                  <w:r>
                    <w:t xml:space="preserve">; </w:t>
                  </w:r>
                  <w:r>
                    <w:rPr>
                      <w:szCs w:val="24"/>
                    </w:rPr>
                    <w:t xml:space="preserve">zistiť, či zákonom uložená povinnosť mesta mať prijaté určité druhy VZN je naplnená; skontrolovať </w:t>
                  </w:r>
                  <w:r>
                    <w:rPr>
                      <w:szCs w:val="24"/>
                      <w:lang w:eastAsia="cs-CZ"/>
                    </w:rPr>
                    <w:t xml:space="preserve">spôsob vydávania, evidovania </w:t>
                  </w:r>
                  <w:r w:rsidRPr="00AF4F32">
                    <w:rPr>
                      <w:szCs w:val="24"/>
                      <w:lang w:eastAsia="cs-CZ"/>
                    </w:rPr>
                    <w:t>a sprístupnenie VZN</w:t>
                  </w:r>
                  <w:r w:rsidR="00457E3E"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772A7E">
              <w:trPr>
                <w:trHeight w:val="249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/>
                    <w:rPr>
                      <w:b/>
                      <w:szCs w:val="24"/>
                    </w:rPr>
                  </w:pPr>
                  <w:r w:rsidRPr="003127A4">
                    <w:rPr>
                      <w:b/>
                      <w:szCs w:val="24"/>
                    </w:rPr>
                    <w:t>Kontrolované obdobie: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B94AFF" w:rsidP="00F34E91">
                  <w:pPr>
                    <w:spacing w:before="6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júl - august 2016</w:t>
                  </w:r>
                  <w:r w:rsidR="00457E3E"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772A7E">
              <w:trPr>
                <w:trHeight w:val="1113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4C385E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 w:rsidRPr="003127A4">
                    <w:rPr>
                      <w:b/>
                      <w:szCs w:val="24"/>
                    </w:rPr>
                    <w:t>Miesto a čas vykonania kontroly</w:t>
                  </w:r>
                  <w:r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B94AFF" w:rsidP="005A630F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 xml:space="preserve">MsÚ Stupava a kancelária oprávnenej osoby </w:t>
                  </w:r>
                  <w:r w:rsidRPr="003127A4">
                    <w:rPr>
                      <w:szCs w:val="24"/>
                    </w:rPr>
                    <w:t xml:space="preserve">od </w:t>
                  </w:r>
                  <w:r>
                    <w:rPr>
                      <w:szCs w:val="24"/>
                    </w:rPr>
                    <w:t>12.07.2016 do 15.08</w:t>
                  </w:r>
                  <w:r w:rsidRPr="003127A4">
                    <w:rPr>
                      <w:szCs w:val="24"/>
                    </w:rPr>
                    <w:t>.2016</w:t>
                  </w:r>
                  <w:r w:rsidR="005A630F">
                    <w:rPr>
                      <w:szCs w:val="24"/>
                    </w:rPr>
                    <w:t>,</w:t>
                  </w:r>
                </w:p>
              </w:tc>
            </w:tr>
            <w:tr w:rsidR="0035654A" w:rsidRPr="003127A4" w:rsidTr="00772A7E">
              <w:trPr>
                <w:trHeight w:val="444"/>
              </w:trPr>
              <w:tc>
                <w:tcPr>
                  <w:tcW w:w="2565" w:type="dxa"/>
                  <w:shd w:val="clear" w:color="auto" w:fill="auto"/>
                </w:tcPr>
                <w:p w:rsidR="0035654A" w:rsidRPr="003127A4" w:rsidRDefault="0035654A" w:rsidP="00F34E91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Dátum doručenia návrhu správy: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35654A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</w:p>
                <w:p w:rsidR="0035654A" w:rsidRPr="008834FC" w:rsidRDefault="00B94AFF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15.08</w:t>
                  </w:r>
                  <w:r w:rsidR="005A630F">
                    <w:rPr>
                      <w:szCs w:val="24"/>
                    </w:rPr>
                    <w:t>.2016</w:t>
                  </w:r>
                </w:p>
              </w:tc>
            </w:tr>
            <w:tr w:rsidR="0035654A" w:rsidRPr="003127A4" w:rsidTr="00772A7E">
              <w:trPr>
                <w:trHeight w:val="444"/>
              </w:trPr>
              <w:tc>
                <w:tcPr>
                  <w:tcW w:w="2565" w:type="dxa"/>
                  <w:shd w:val="clear" w:color="auto" w:fill="auto"/>
                </w:tcPr>
                <w:p w:rsidR="0035654A" w:rsidRDefault="0035654A" w:rsidP="00F34E91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Dátum prijatia námietok: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8834FC" w:rsidRDefault="0035654A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</w:p>
                <w:p w:rsidR="0035654A" w:rsidRPr="008834FC" w:rsidRDefault="00B94AFF" w:rsidP="00F34E91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2</w:t>
                  </w:r>
                  <w:r w:rsidR="005A630F">
                    <w:rPr>
                      <w:szCs w:val="24"/>
                    </w:rPr>
                    <w:t>4.08</w:t>
                  </w:r>
                  <w:r w:rsidR="0035654A" w:rsidRPr="00457E3E">
                    <w:rPr>
                      <w:szCs w:val="24"/>
                    </w:rPr>
                    <w:t>.2016</w:t>
                  </w:r>
                </w:p>
              </w:tc>
            </w:tr>
            <w:tr w:rsidR="0035654A" w:rsidRPr="003127A4" w:rsidTr="00457E3E">
              <w:trPr>
                <w:trHeight w:val="276"/>
              </w:trPr>
              <w:tc>
                <w:tcPr>
                  <w:tcW w:w="2565" w:type="dxa"/>
                  <w:shd w:val="clear" w:color="auto" w:fill="auto"/>
                </w:tcPr>
                <w:p w:rsidR="0035654A" w:rsidRDefault="0035654A" w:rsidP="00772A7E">
                  <w:pPr>
                    <w:spacing w:before="6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Dátum zaslania správy: </w:t>
                  </w:r>
                </w:p>
              </w:tc>
              <w:tc>
                <w:tcPr>
                  <w:tcW w:w="6086" w:type="dxa"/>
                  <w:shd w:val="clear" w:color="auto" w:fill="auto"/>
                </w:tcPr>
                <w:p w:rsidR="0035654A" w:rsidRPr="00457E3E" w:rsidRDefault="0035654A" w:rsidP="00F34E91">
                  <w:pPr>
                    <w:spacing w:before="60" w:after="0"/>
                    <w:rPr>
                      <w:szCs w:val="24"/>
                    </w:rPr>
                  </w:pPr>
                </w:p>
                <w:p w:rsidR="0035654A" w:rsidRPr="008834FC" w:rsidRDefault="00B94AFF" w:rsidP="00B94AFF">
                  <w:pPr>
                    <w:spacing w:before="60" w:after="0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08</w:t>
                  </w:r>
                  <w:r w:rsidR="00457E3E" w:rsidRPr="00457E3E">
                    <w:rPr>
                      <w:szCs w:val="24"/>
                    </w:rPr>
                    <w:t>.</w:t>
                  </w:r>
                  <w:r w:rsidR="005A630F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9</w:t>
                  </w:r>
                  <w:r w:rsidR="00457E3E" w:rsidRPr="00457E3E">
                    <w:rPr>
                      <w:szCs w:val="24"/>
                    </w:rPr>
                    <w:t>.2016</w:t>
                  </w:r>
                </w:p>
              </w:tc>
            </w:tr>
          </w:tbl>
          <w:p w:rsidR="0035654A" w:rsidRDefault="0035654A" w:rsidP="007E1CB5">
            <w:pPr>
              <w:spacing w:after="0" w:line="240" w:lineRule="auto"/>
            </w:pPr>
          </w:p>
        </w:tc>
      </w:tr>
    </w:tbl>
    <w:p w:rsidR="0035654A" w:rsidRDefault="0035654A" w:rsidP="00FD69A1"/>
    <w:p w:rsidR="0035654A" w:rsidRDefault="0035654A" w:rsidP="00FD69A1">
      <w:pPr>
        <w:rPr>
          <w:b/>
          <w:u w:val="single"/>
        </w:rPr>
      </w:pPr>
    </w:p>
    <w:p w:rsidR="005A630F" w:rsidRPr="006F7F89" w:rsidRDefault="005A630F" w:rsidP="005A630F">
      <w:pPr>
        <w:pStyle w:val="Zkladntext"/>
        <w:rPr>
          <w:b/>
          <w:u w:val="single"/>
        </w:rPr>
      </w:pPr>
      <w:r>
        <w:rPr>
          <w:b/>
          <w:u w:val="single"/>
        </w:rPr>
        <w:t>Použitá</w:t>
      </w:r>
      <w:r w:rsidRPr="006F7F89">
        <w:rPr>
          <w:b/>
          <w:u w:val="single"/>
        </w:rPr>
        <w:t xml:space="preserve"> legislatíva ku kontrole:</w:t>
      </w:r>
    </w:p>
    <w:p w:rsidR="00A12895" w:rsidRPr="00B80A42" w:rsidRDefault="00A12895" w:rsidP="00A1289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szCs w:val="24"/>
          <w:u w:val="single"/>
        </w:rPr>
      </w:pPr>
      <w:r>
        <w:t>Zákon č. 369/1990 Zb. o obecnom zriadení v  z. n. p.,</w:t>
      </w:r>
    </w:p>
    <w:p w:rsidR="005A630F" w:rsidRPr="00A12895" w:rsidRDefault="00A12895" w:rsidP="00A1289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Cs w:val="24"/>
        </w:rPr>
      </w:pPr>
      <w:r>
        <w:rPr>
          <w:szCs w:val="24"/>
        </w:rPr>
        <w:t>cez program ASPI v</w:t>
      </w:r>
      <w:r w:rsidRPr="0097720E">
        <w:rPr>
          <w:szCs w:val="24"/>
        </w:rPr>
        <w:t>šetky zákony uvedené</w:t>
      </w:r>
      <w:r>
        <w:rPr>
          <w:szCs w:val="24"/>
        </w:rPr>
        <w:t xml:space="preserve"> v návrhu správy najmä: </w:t>
      </w:r>
      <w:r>
        <w:t>zákon</w:t>
      </w:r>
      <w:r w:rsidRPr="00A369FE">
        <w:t xml:space="preserve"> č. 355/2007 Z. z. o </w:t>
      </w:r>
      <w:r w:rsidRPr="00A369FE">
        <w:rPr>
          <w:bCs/>
        </w:rPr>
        <w:t>ochrane, podpore a rozvoji verejného zdravia a o zmene a doplnení niektorých zákonov</w:t>
      </w:r>
      <w:r>
        <w:rPr>
          <w:bCs/>
        </w:rPr>
        <w:t xml:space="preserve">, školský zákon, </w:t>
      </w:r>
      <w:r>
        <w:t xml:space="preserve">zákon č. 596/2003 Z. z. o štátnej správe v školstve a školskej </w:t>
      </w:r>
      <w:r>
        <w:lastRenderedPageBreak/>
        <w:t xml:space="preserve">samospráve a o zmene a doplnení niektorých zákonov v z. n. p., </w:t>
      </w:r>
      <w:r>
        <w:rPr>
          <w:rFonts w:cs="Tahoma"/>
          <w:iCs/>
          <w:lang w:eastAsia="sk-SK"/>
        </w:rPr>
        <w:t>zákon</w:t>
      </w:r>
      <w:r w:rsidRPr="00D763EE">
        <w:rPr>
          <w:rFonts w:cs="Tahoma"/>
          <w:iCs/>
          <w:lang w:eastAsia="sk-SK"/>
        </w:rPr>
        <w:t xml:space="preserve"> č. 583/2004 Z.</w:t>
      </w:r>
      <w:r>
        <w:rPr>
          <w:rFonts w:cs="Tahoma"/>
          <w:iCs/>
          <w:lang w:eastAsia="sk-SK"/>
        </w:rPr>
        <w:t> </w:t>
      </w:r>
      <w:r w:rsidRPr="00D763EE">
        <w:rPr>
          <w:rFonts w:cs="Tahoma"/>
          <w:iCs/>
          <w:lang w:eastAsia="sk-SK"/>
        </w:rPr>
        <w:t>z. o rozpočtových pravidlách územnej samosprávy a o zmene a doplnení niektorých zákonov</w:t>
      </w:r>
      <w:r>
        <w:rPr>
          <w:rFonts w:cs="Tahoma"/>
          <w:iCs/>
          <w:lang w:eastAsia="sk-SK"/>
        </w:rPr>
        <w:t xml:space="preserve">, zákon č.448/2008 Z. z. o sociálnych </w:t>
      </w:r>
      <w:r w:rsidRPr="00D54F19">
        <w:rPr>
          <w:iCs/>
          <w:szCs w:val="24"/>
          <w:lang w:eastAsia="sk-SK"/>
        </w:rPr>
        <w:t xml:space="preserve">službách </w:t>
      </w:r>
      <w:r w:rsidRPr="00D54F19">
        <w:rPr>
          <w:bCs/>
          <w:szCs w:val="24"/>
        </w:rPr>
        <w:t>a o zmene a doplnení zákona č.</w:t>
      </w:r>
      <w:r>
        <w:rPr>
          <w:bCs/>
          <w:szCs w:val="24"/>
        </w:rPr>
        <w:t xml:space="preserve"> 455/1991 Zb. o </w:t>
      </w:r>
      <w:r w:rsidRPr="00D54F19">
        <w:rPr>
          <w:bCs/>
          <w:szCs w:val="24"/>
        </w:rPr>
        <w:t>živnostenskom podnikaní (živnostenský zákon) v znení neskorších predpisov</w:t>
      </w:r>
      <w:r w:rsidRPr="00D54F19">
        <w:rPr>
          <w:iCs/>
          <w:szCs w:val="24"/>
          <w:lang w:eastAsia="sk-SK"/>
        </w:rPr>
        <w:t>.</w:t>
      </w:r>
    </w:p>
    <w:p w:rsidR="005A630F" w:rsidRDefault="005A630F" w:rsidP="005A630F">
      <w:pPr>
        <w:spacing w:after="0"/>
        <w:ind w:left="360"/>
        <w:rPr>
          <w:b/>
          <w:szCs w:val="24"/>
          <w:u w:val="single"/>
        </w:rPr>
      </w:pPr>
    </w:p>
    <w:p w:rsidR="00A12895" w:rsidRDefault="00A12895" w:rsidP="00EF3C17">
      <w:pPr>
        <w:ind w:firstLine="709"/>
      </w:pPr>
      <w:r w:rsidRPr="00892B1F">
        <w:t>Mesto Stupava</w:t>
      </w:r>
      <w:r>
        <w:t xml:space="preserve"> vedie vo svojej evidencii 117 VZN, z toho je 45 platných VZN. Evidenciu v elektronickej forme vedie zamestnankyňa Oddelenia všeobecnej a vnútornej správy Mestského úradu v Stupave. Vyžiadaním si evidencie VZN v písomnej forme oprávnenou osobou a  následným  porovnaním zverejnených VZN na webovej stránke mesta Stupava: </w:t>
      </w:r>
      <w:hyperlink r:id="rId8" w:history="1">
        <w:r w:rsidRPr="00E65BB1">
          <w:rPr>
            <w:rStyle w:val="Hypertextovprepojenie"/>
          </w:rPr>
          <w:t>http://stupava.sk/web/src/index.php?lg=sk&amp;pgid=265</w:t>
        </w:r>
      </w:hyperlink>
      <w:r w:rsidR="007E1CB5">
        <w:t xml:space="preserve"> </w:t>
      </w:r>
      <w:r>
        <w:t>bolo zistené, že 3 VZN nie sú</w:t>
      </w:r>
      <w:r w:rsidR="007E1CB5">
        <w:t xml:space="preserve"> zverejnené. </w:t>
      </w:r>
      <w:r>
        <w:t>Jedná sa o </w:t>
      </w:r>
      <w:r w:rsidRPr="00E6010E">
        <w:rPr>
          <w:b/>
        </w:rPr>
        <w:t>VZN č. 5/2010, ktorým sa vyhlasuje záväzná časť Územného plánu zóny Stupava – Kopce</w:t>
      </w:r>
      <w:r>
        <w:t xml:space="preserve">, ďalej </w:t>
      </w:r>
      <w:r w:rsidRPr="00E97E72">
        <w:rPr>
          <w:b/>
        </w:rPr>
        <w:t>Nariadenie č. 2 o zriadení Mestskej polície</w:t>
      </w:r>
      <w:r>
        <w:t xml:space="preserve"> a </w:t>
      </w:r>
      <w:r w:rsidRPr="00E97E72">
        <w:rPr>
          <w:b/>
        </w:rPr>
        <w:t>VZN č. 1/1999 o prevode bytov a nebytových priestorov z vlastníctva mesta Stupava do vlastníctva iných osôb</w:t>
      </w:r>
      <w:r>
        <w:t>. Podľa § 6 ods. 9 zákona o obecnom zriadení</w:t>
      </w:r>
      <w:r w:rsidRPr="005419BC">
        <w:t xml:space="preserve"> </w:t>
      </w:r>
      <w:r>
        <w:t>je vyvesenie nariadenia podmienkou jeho platnosti; okrem toho sa nariadenia majú zverejniť aj spôsobom v obci obvyklým. Oprávnená osoba konštatovala nesúlad s uvedeným ustanovením zákona, pretože povinnosťou obce je nielen vyvesiť VZN, ale ho aj zverejniť. Podľa odporúčania uvedeného v návrhu správy z kontroly je z vyššie uvedených VZN zverejnené len VZN č. 5/2010.</w:t>
      </w:r>
      <w:r w:rsidRPr="000F4135">
        <w:t xml:space="preserve"> </w:t>
      </w:r>
    </w:p>
    <w:p w:rsidR="007E1CB5" w:rsidRDefault="007E1CB5" w:rsidP="00EF3C17">
      <w:pPr>
        <w:ind w:firstLine="567"/>
      </w:pPr>
      <w:r>
        <w:t>Mesto Stupava má 5 úradných tabúľ, v Máste, na Kolónii, pri Pošte, pred MsÚ a v budove Mestského úradu v Stupave.</w:t>
      </w:r>
    </w:p>
    <w:p w:rsidR="007E1CB5" w:rsidRDefault="007E1CB5" w:rsidP="007E1CB5">
      <w:pPr>
        <w:spacing w:after="0"/>
        <w:ind w:firstLine="567"/>
      </w:pPr>
      <w:r>
        <w:t>Kontrolou bolo ďalej zistené, že VZN č. 1/2006, ktorým sa vyhlasuje záväzná časť územnoplánovacej dokumentácie, je vedené v elektronickej i písomnej evidencii ako neplatné, pričom na webovej stránke je stále prezentované ako platné. Zisťovaním príčiny nesúladu evidencie s webovou stránkou mesta môže byť článok 3 VZN č. 2/2007, ktorým sa vyhlasuje záväzná časť Územného plánu mesta Stupava, v ktorom je ustanovené, že dňom účinnosti tohto VZN sa zrušuje VZN č. 1/2006. Totožné kontrolné zistenia o nesúlade evidencie s webovou stránkou mesta sa týkali aj týchto nasledujúcich VZN a dodatkov k VZN:</w:t>
      </w:r>
    </w:p>
    <w:p w:rsidR="007E1CB5" w:rsidRDefault="007E1CB5" w:rsidP="007E1CB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24" w:hanging="357"/>
        <w:textAlignment w:val="baseline"/>
      </w:pPr>
      <w:r>
        <w:t xml:space="preserve">VZN č. 6/2013 o nakladaní s komunálnymi odpadmi (uvedené VZN je zrušené VZN č. 2/2016), </w:t>
      </w:r>
    </w:p>
    <w:p w:rsidR="007E1CB5" w:rsidRDefault="007E1CB5" w:rsidP="007E1CB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24" w:hanging="357"/>
        <w:textAlignment w:val="baseline"/>
      </w:pPr>
      <w:r>
        <w:t>Dodatku č. 1 k VZN č. 8/2011 (keď je VZN zrušené, neplatí ani dodatok),</w:t>
      </w:r>
    </w:p>
    <w:p w:rsidR="007E1CB5" w:rsidRDefault="007E1CB5" w:rsidP="007E1CB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24" w:hanging="357"/>
        <w:textAlignment w:val="baseline"/>
      </w:pPr>
      <w:r>
        <w:t>a tiež Dodatku č. 1 k VZN č. 1/2013 (Dodatok č. 2 je intertemporálny predpis k Dodatku č.1).</w:t>
      </w:r>
    </w:p>
    <w:p w:rsidR="007E1CB5" w:rsidRDefault="007E1CB5" w:rsidP="00EF3C17">
      <w:r>
        <w:t>Počas výkonu kontroly sa opravili poznámky na webovej stránke mesta a VZN č. 6/2013 a Dodatok č. 1 k VZN č. 8/2011 sa zmenili na neplatné, ale nezmenili sa k VZN č. 1/2006 a k Dodatku č. 1 k VZN č. 1/2013.</w:t>
      </w:r>
    </w:p>
    <w:p w:rsidR="007E1CB5" w:rsidRDefault="007E1CB5" w:rsidP="007E1CB5">
      <w:r>
        <w:tab/>
        <w:t>P</w:t>
      </w:r>
      <w:r w:rsidR="00882A52">
        <w:t>ovinná osoba namietala na časť druhého</w:t>
      </w:r>
      <w:r>
        <w:t xml:space="preserve"> kontrolného zistenia týkajúceho sa Dodatku č. 1 k VZN č. 1/2013 s tým</w:t>
      </w:r>
      <w:r w:rsidRPr="006D6C42">
        <w:t>, že príslušné VZN č. 1/2013 je platné v znení jeho dodatkov a nie je možné ich bez právneho titulu a dôvodu vyhlásiť za neplatné, pokiaľ napr. nasledujúci dodatok nezrušuje predchádzajúci dodatok.</w:t>
      </w:r>
      <w:r>
        <w:rPr>
          <w:i/>
        </w:rPr>
        <w:t xml:space="preserve"> </w:t>
      </w:r>
      <w:r>
        <w:t>Dodatkom č. 2 k VZN č. 1/2013 sa zmenila výška dotácie na mzdy a prevádzku na žiaka a odo dňa jeho účinnosti sa vychádza zo súm, ktoré sú v ňom uvedené, a teda sa nevychádza zo súm uvedených v Dodatku č. 1. Odporúčaním k druhému kontrolnému zisteniu o nesúlade evidenc</w:t>
      </w:r>
      <w:r w:rsidR="00882A52">
        <w:t xml:space="preserve">ie a webovou stránkou mesta je </w:t>
      </w:r>
      <w:r>
        <w:t xml:space="preserve">uviesť </w:t>
      </w:r>
      <w:r>
        <w:lastRenderedPageBreak/>
        <w:t>do</w:t>
      </w:r>
      <w:r w:rsidR="00882A52">
        <w:t> </w:t>
      </w:r>
      <w:r>
        <w:t xml:space="preserve">súladu evidenciu VZN s webovou stránkou mesta. Pri ďalších zistených nedostatkoch kontrolovaného VZN č. 1/2013 bolo odporučené VZN s oboma dodatkami zrušiť a schváliť nové, aj vzhľadom k skutočnosti, že Dodatok č. 1 má nesprávne určenú účinnosť, a to o jeden deň skôr. Z uvedených dôvodov oprávnená osoba vyhodnotila </w:t>
      </w:r>
      <w:r w:rsidR="009349CD">
        <w:t>námietku ako neopodstatnenú</w:t>
      </w:r>
      <w:r w:rsidRPr="007E1CB5">
        <w:t>.</w:t>
      </w:r>
    </w:p>
    <w:p w:rsidR="007E1CB5" w:rsidRDefault="007E1CB5" w:rsidP="007E1CB5">
      <w:pPr>
        <w:ind w:firstLine="567"/>
      </w:pPr>
      <w:r>
        <w:t>K danému VZN bola vykonaná kontrola súladu s platnými právnymi predpismi, výsledkom ktorej bol v návrhu správy zistený nesúlad so zákonom č. 596/2003 Z. z. o štátnej správe v školstve a školskej samospráve a o zmene a doplnení niektorých zákonov v z. n. p.</w:t>
      </w:r>
      <w:r w:rsidR="00EF3C17">
        <w:t>, nie však porušenie zákona.</w:t>
      </w:r>
      <w:r>
        <w:t xml:space="preserve"> </w:t>
      </w:r>
      <w:r w:rsidR="00C0771D">
        <w:t>Povinná osoba namietala na kontrolné zistenia, z ktorých boli dve vyhodnotené ako neopodstatnené a jedna námietka ako opodstatnená.</w:t>
      </w:r>
    </w:p>
    <w:p w:rsidR="00C0771D" w:rsidRDefault="00C0771D" w:rsidP="00C0771D">
      <w:pPr>
        <w:ind w:firstLine="567"/>
      </w:pPr>
      <w:r>
        <w:t>Cieľom kontroly bolo okrem iného zistiť spôsob vydávania VZN</w:t>
      </w:r>
      <w:r w:rsidRPr="00CF2752">
        <w:t>. Zamestnanci, ktorí zodpovedajú za prípravu VZN</w:t>
      </w:r>
      <w:r>
        <w:t>,</w:t>
      </w:r>
      <w:r w:rsidRPr="00CF2752">
        <w:t xml:space="preserve"> sú určovaní spravidla podľa odborného zamerania, ktoré si príprava VZN vyžaduje. Návrhy VZN sú v zmysle </w:t>
      </w:r>
      <w:r>
        <w:t>§ 6 ods. 3</w:t>
      </w:r>
      <w:r w:rsidRPr="00CF2752">
        <w:t xml:space="preserve"> zákona</w:t>
      </w:r>
      <w:r>
        <w:t xml:space="preserve"> o obecnom zriadení </w:t>
      </w:r>
      <w:r w:rsidRPr="00CF2752">
        <w:t>vyvesené na pripomienkovanie tak občanom, ako aj poslancom MsZ, ktorí môžu k návrhom VZN posielať pripomienky. Komisie sú poradným orgánom</w:t>
      </w:r>
      <w:r>
        <w:t xml:space="preserve"> MsZ,</w:t>
      </w:r>
      <w:r w:rsidRPr="00CF2752">
        <w:t xml:space="preserve"> a preto nie je</w:t>
      </w:r>
      <w:r>
        <w:t xml:space="preserve"> ich</w:t>
      </w:r>
      <w:r w:rsidRPr="00CF2752">
        <w:t xml:space="preserve"> povinnosťou prerokovať návrh VZN v komisiách. Poslanci mávajú väčšinou </w:t>
      </w:r>
      <w:r>
        <w:t>k novým návrhom VZN poradu s </w:t>
      </w:r>
      <w:r w:rsidRPr="00CF2752">
        <w:t>primátorom, kde sú návrhy VZN prerokované.</w:t>
      </w:r>
    </w:p>
    <w:p w:rsidR="00C0771D" w:rsidRDefault="00C0771D" w:rsidP="00C0771D">
      <w:pPr>
        <w:ind w:firstLine="567"/>
      </w:pPr>
      <w:r>
        <w:t xml:space="preserve">Zisťovaním, či má mesto prijaté všetky VZN, ktoré mu ukladá zákon, bolo zistené, že mesto Stupava má prijaté všetky VZN, ktoré sú povinnosťou podľa jednotlivých zákonov. Prehľad o platných VZN mesta Stupava je uvedený v tabuľke č. 1, ktorý je prílohou tohto </w:t>
      </w:r>
      <w:r w:rsidR="00C93A93">
        <w:t>materiálu</w:t>
      </w:r>
      <w:r>
        <w:t>. Z celkového počtu 45 platných VZN je 7 VZN, ktoré sa týkajú územného plánu a záväzných častí územnoplánovacej dokumentácie (v tabuľke sú označené zelenou farbou). Ďalších 6 VZN, ktorými sa určujú názvy ulíc v meste Stupava (v tabuľke sú označené žltou farbou) a zo zvyšných 32 platných VZN bolo náhodným výberom skontrolovaných 6 VZN</w:t>
      </w:r>
      <w:r w:rsidR="00F90C1A">
        <w:t xml:space="preserve"> (v </w:t>
      </w:r>
      <w:r>
        <w:t>tabuľke sú označené červenou farbou), či sú v súlade s platnými právnymi predpismi Slovenskej Republiky (ďalšie kontrolné zistenia s opisom ziste</w:t>
      </w:r>
      <w:r w:rsidR="00EE7C65">
        <w:t>ných nedostatkov sú uvedené pri </w:t>
      </w:r>
      <w:r>
        <w:t>každom kontrolovanom VZN</w:t>
      </w:r>
      <w:r w:rsidR="002051ED">
        <w:t xml:space="preserve"> v Správe z kontroly</w:t>
      </w:r>
      <w:r>
        <w:t>).</w:t>
      </w:r>
    </w:p>
    <w:p w:rsidR="00F90C1A" w:rsidRDefault="00F90C1A" w:rsidP="00C0771D">
      <w:pPr>
        <w:ind w:firstLine="567"/>
      </w:pPr>
    </w:p>
    <w:p w:rsidR="00C0771D" w:rsidRPr="00F90C1A" w:rsidRDefault="00C0771D" w:rsidP="00C0771D">
      <w:pPr>
        <w:spacing w:after="0"/>
        <w:rPr>
          <w:b/>
          <w:u w:val="single"/>
        </w:rPr>
      </w:pPr>
      <w:r w:rsidRPr="00F90C1A">
        <w:rPr>
          <w:b/>
          <w:u w:val="single"/>
        </w:rPr>
        <w:t>Fakultatívne VZN, ktoré mesto nemá prijaté, ale môže ich prijať: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 o dočasnom obmedzení užívania pitnej vody (podľa § 36 ods. 7 písm. b) zákona č. 442/2002 Z.z. o verejných vodovodoch a verejných kanalizáciách),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 o zákaze fajčenia na verejne prístupných miestach (podľa § 7 ods. 3 zákona č. 377/2004 Z.z. o ochrane nefajčiarov),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VZN, ktorým sa vymedzujú úseky miestnych komunikácií na dočasné parkovanie motorových vozidiel (podľa § 6a ods. 1 až 3 zákona č. 135/1961 Zb. o pozemných komunikáciách),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 o používaní miestnych komunikácií na území obce (podľa § 9 ods. 2 a 3 zákona č. 135/1961 Zb. o pozemných komunikáciách),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VZN, ktorým sa vydáva prevádzkový poriadok stanovíšť taxislužby a určujú podrobnosti o výkone taxislužby na území obce (podľa § 26 ods. 5 zákona č. 56/2012 Z.z. o cestnej doprave),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 o nakladaní s bytmi na území obce (podľa § 12 ods. 1 zákona č. 189/1992 Zb. o úprave niektorých pomerov súvisiacich s nájmom bytov a s bytovými náhradami),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lastRenderedPageBreak/>
        <w:t>VZN o vodách (podľa § 63 ods. 4 zákona č. 364/2004 Z.z. o vodách),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 o povinnosti vypracovať povodňové plány záchranných prác (podľa § 10 ods. 3 písm. c) zákona č. 7/2010 Z.z. o ochrane pred povodňami),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VZN o zákaze prevádzkovania hazardných hier na území obce (podľa § 10 ods. 5 písm. d) zákona č. 171/2005 Z.z. o hazardných hrách),</w:t>
      </w:r>
    </w:p>
    <w:p w:rsidR="00C0771D" w:rsidRDefault="00C0771D" w:rsidP="00C0771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>
        <w:t>VZN, ktorým sa vyhlasuje obecné chránené územie (podľa § 25a zákona č. 543/2002 Z.z o ochrane prírody a krajiny).</w:t>
      </w:r>
    </w:p>
    <w:p w:rsidR="00016557" w:rsidRDefault="00C0771D" w:rsidP="00755B5A">
      <w:pPr>
        <w:ind w:firstLine="567"/>
      </w:pPr>
      <w:r>
        <w:t xml:space="preserve">Povinná osoba namietala, že </w:t>
      </w:r>
      <w:r w:rsidRPr="002051ED">
        <w:t xml:space="preserve">po formálnej stránke obsahom Návrhu správy z kontroly nemá byť výpočet tzv. fakultatívnych VZN, že nie je dostatočný a že nemá žiadnu výpovednú hodnotu. MsÚ taktiež požadoval, aby bol návrh správy prepracovaný a zodpovedal zákonným požiadavkám. </w:t>
      </w:r>
      <w:r>
        <w:t xml:space="preserve">Oprávnená osoba vypracovala Návrh správy z kontroly v súlade so zákonom, najmä v súlade so zákonom č. 357/2015 Z.z. o finančnej kontrole a audite a o zmene a doplnení niektorých zákonov, ktorý v § 22 ods. 3 písm. e) stanovuje, že Návrh správy obsahuje </w:t>
      </w:r>
      <w:r w:rsidRPr="00E42496">
        <w:t xml:space="preserve">najmä </w:t>
      </w:r>
      <w:r>
        <w:t xml:space="preserve">opis zistených nedostatkov </w:t>
      </w:r>
      <w:r w:rsidRPr="00E42496">
        <w:t xml:space="preserve"> a</w:t>
      </w:r>
      <w:r>
        <w:t>   pri porušení osobitných predpisov alebo medzinárodných zmlúv, ktorými je SR viazaná, a na základe ktorých sa SR po</w:t>
      </w:r>
      <w:r w:rsidR="00EE7C65">
        <w:t>skytujú finančné prostriedky zo </w:t>
      </w:r>
      <w:r>
        <w:t>zahraničia, označenie konkrétnych ustanovení, ktoré boli porušené spolu s návrhmi odporúčaní alebo opatrení na nápravu zistených nedostatkov a na odstránenie príčin ich vzniku. Taktiež bol Návrh správy z kontroly vypracovaný v súlade s Pravidlami kontrolnej činnosti HK mesta Stupava, ktorý v článku X. bod 6. písm. f) stanovuje, že Návrh správy obsahuje najmä úplný popis kontrolných zistení. Jedným z kontrolných zistení je, že mesto Stupava môže prijať vyššie uvedené fakultatívne VZN, ktoré nemá prijaté. Ide o informáciu (výpočet fakultatívnych VZN) získanú zo školenia realizovaného Bratislavskou Business School Ekonomickej univerzity v Bratislave, a ktorá je tiež uvedená v Komentári</w:t>
      </w:r>
      <w:r w:rsidR="00EE7C65">
        <w:t xml:space="preserve"> k zákonu o obecnom zriadení od </w:t>
      </w:r>
      <w:r>
        <w:t>Jozefa Tekeliho a Mariana Hoffmanna, rok vydania 2014</w:t>
      </w:r>
      <w:r w:rsidRPr="00F90C1A">
        <w:t>. Námietka je neopodstatnená</w:t>
      </w:r>
      <w:r w:rsidR="00455258">
        <w:t>, pretože tak ako v Návrhu správy tak i v S</w:t>
      </w:r>
      <w:r>
        <w:t>práve</w:t>
      </w:r>
      <w:r w:rsidR="00455258">
        <w:t xml:space="preserve"> z kontroly</w:t>
      </w:r>
      <w:r>
        <w:t xml:space="preserve"> sa majú uvádzať odporúčania, v tomto prípade ohľadom možných VZN, ktoré môže MsZ schváliť. Požiadavka na prepracovanie je nad rámec právomoci povinnej osoby, nakoľko povinná osoba nemá zákonné oprávnenie požadovať</w:t>
      </w:r>
      <w:r w:rsidR="00F90C1A">
        <w:t xml:space="preserve"> od </w:t>
      </w:r>
      <w:r>
        <w:t>oprávnenej osoby prepracovanie návrhu správy.</w:t>
      </w:r>
    </w:p>
    <w:p w:rsidR="00755B5A" w:rsidRDefault="00755B5A" w:rsidP="00755B5A">
      <w:pPr>
        <w:ind w:firstLine="567"/>
      </w:pPr>
    </w:p>
    <w:p w:rsidR="00016557" w:rsidRPr="00755B5A" w:rsidRDefault="00016557" w:rsidP="00016557">
      <w:pPr>
        <w:rPr>
          <w:b/>
          <w:u w:val="single"/>
        </w:rPr>
      </w:pPr>
      <w:r w:rsidRPr="00755B5A">
        <w:rPr>
          <w:b/>
          <w:u w:val="single"/>
        </w:rPr>
        <w:t>Skontrolované boli nasledujúce VZN:</w:t>
      </w:r>
    </w:p>
    <w:p w:rsidR="00016557" w:rsidRDefault="00016557" w:rsidP="00755B5A">
      <w:pPr>
        <w:pStyle w:val="Odsekzoznamu"/>
        <w:numPr>
          <w:ilvl w:val="0"/>
          <w:numId w:val="21"/>
        </w:numPr>
        <w:ind w:left="647" w:hanging="142"/>
        <w:rPr>
          <w:iCs/>
          <w:lang w:eastAsia="sk-SK"/>
        </w:rPr>
      </w:pPr>
      <w:r>
        <w:t>VZN č. </w:t>
      </w:r>
      <w:r w:rsidRPr="00016557">
        <w:t>3/1999</w:t>
      </w:r>
      <w:r w:rsidRPr="00016557">
        <w:rPr>
          <w:iCs/>
          <w:lang w:eastAsia="sk-SK"/>
        </w:rPr>
        <w:t xml:space="preserve"> o vykonávaní ochrannej deratizácie a dezinsekcie,</w:t>
      </w:r>
    </w:p>
    <w:p w:rsidR="00016557" w:rsidRPr="00016557" w:rsidRDefault="00016557" w:rsidP="00016557">
      <w:pPr>
        <w:pStyle w:val="Odsekzoznamu"/>
        <w:numPr>
          <w:ilvl w:val="0"/>
          <w:numId w:val="21"/>
        </w:numPr>
        <w:ind w:left="647" w:hanging="142"/>
        <w:rPr>
          <w:iCs/>
          <w:lang w:eastAsia="sk-SK"/>
        </w:rPr>
      </w:pPr>
      <w:r>
        <w:rPr>
          <w:bCs/>
        </w:rPr>
        <w:t>VZN č. </w:t>
      </w:r>
      <w:r w:rsidRPr="00016557">
        <w:rPr>
          <w:bCs/>
        </w:rPr>
        <w:t>4/2008 „</w:t>
      </w:r>
      <w:r w:rsidRPr="00016557">
        <w:rPr>
          <w:rFonts w:cs="Tahoma"/>
          <w:iCs/>
          <w:lang w:eastAsia="sk-SK"/>
        </w:rPr>
        <w:t>Rozpočtové pravidlá mesta STUPAVA“,</w:t>
      </w:r>
    </w:p>
    <w:p w:rsidR="00016557" w:rsidRDefault="00016557" w:rsidP="00016557">
      <w:pPr>
        <w:pStyle w:val="Odsekzoznamu"/>
        <w:numPr>
          <w:ilvl w:val="0"/>
          <w:numId w:val="21"/>
        </w:numPr>
        <w:ind w:left="647" w:hanging="142"/>
        <w:rPr>
          <w:iCs/>
          <w:lang w:eastAsia="sk-SK"/>
        </w:rPr>
      </w:pPr>
      <w:r w:rsidRPr="00016557">
        <w:t>VZN č.</w:t>
      </w:r>
      <w:r>
        <w:t> </w:t>
      </w:r>
      <w:r w:rsidRPr="00016557">
        <w:t xml:space="preserve">1/2009 </w:t>
      </w:r>
      <w:r w:rsidRPr="00016557">
        <w:rPr>
          <w:iCs/>
          <w:lang w:eastAsia="sk-SK"/>
        </w:rPr>
        <w:t>o určení miesta a času zápisu dieťaťa na plnenie povinnej školskej dochádzky v základných školách, ktorých zriaďovateľom je Mesto Stupava,</w:t>
      </w:r>
    </w:p>
    <w:p w:rsidR="00016557" w:rsidRDefault="00016557" w:rsidP="00E91ABB">
      <w:pPr>
        <w:pStyle w:val="Odsekzoznamu"/>
        <w:numPr>
          <w:ilvl w:val="0"/>
          <w:numId w:val="21"/>
        </w:numPr>
        <w:spacing w:after="0"/>
        <w:ind w:left="647" w:hanging="142"/>
        <w:rPr>
          <w:rFonts w:cs="Tahoma"/>
          <w:iCs/>
          <w:lang w:eastAsia="sk-SK"/>
        </w:rPr>
      </w:pPr>
      <w:r w:rsidRPr="00016557">
        <w:rPr>
          <w:rFonts w:cs="Tahoma"/>
          <w:iCs/>
          <w:lang w:eastAsia="sk-SK"/>
        </w:rPr>
        <w:t>VZN č.</w:t>
      </w:r>
      <w:r>
        <w:rPr>
          <w:rFonts w:cs="Tahoma"/>
          <w:iCs/>
          <w:lang w:eastAsia="sk-SK"/>
        </w:rPr>
        <w:t> </w:t>
      </w:r>
      <w:r w:rsidRPr="00016557">
        <w:rPr>
          <w:rFonts w:cs="Tahoma"/>
          <w:iCs/>
          <w:lang w:eastAsia="sk-SK"/>
        </w:rPr>
        <w:t>2/2009 o spôsobe určenia úhrady, výške úhrady a spôsobe jej platenia   za opatrovateľskú službu a dovoz obedov, poskytované Mestom Stupava,</w:t>
      </w:r>
    </w:p>
    <w:p w:rsidR="00016557" w:rsidRDefault="00016557" w:rsidP="00E91ABB">
      <w:pPr>
        <w:pStyle w:val="Odsekzoznamu"/>
        <w:numPr>
          <w:ilvl w:val="0"/>
          <w:numId w:val="21"/>
        </w:numPr>
        <w:spacing w:after="0"/>
        <w:ind w:left="647" w:hanging="142"/>
        <w:rPr>
          <w:rFonts w:cs="Tahoma"/>
          <w:iCs/>
          <w:lang w:eastAsia="sk-SK"/>
        </w:rPr>
      </w:pPr>
      <w:r>
        <w:rPr>
          <w:rFonts w:cs="Tahoma"/>
          <w:iCs/>
          <w:lang w:eastAsia="sk-SK"/>
        </w:rPr>
        <w:t xml:space="preserve">VZN č. 1/2013 </w:t>
      </w:r>
      <w:r w:rsidRPr="00183D93">
        <w:rPr>
          <w:iCs/>
          <w:lang w:eastAsia="sk-SK"/>
        </w:rPr>
        <w:t>o určení podrobností financovania a výšky dotácie na prevádzku a mzdy na žiaka ZUŠ, dieťa MŠ a dieťa školských zariadení v zriaďovateľskej pôsobnosti mesta Stupava</w:t>
      </w:r>
      <w:r>
        <w:rPr>
          <w:iCs/>
          <w:lang w:eastAsia="sk-SK"/>
        </w:rPr>
        <w:t>,</w:t>
      </w:r>
    </w:p>
    <w:p w:rsidR="00755B5A" w:rsidRDefault="00016557" w:rsidP="00755B5A">
      <w:pPr>
        <w:pStyle w:val="Odsekzoznamu"/>
        <w:numPr>
          <w:ilvl w:val="0"/>
          <w:numId w:val="21"/>
        </w:numPr>
        <w:spacing w:after="0"/>
        <w:ind w:left="647" w:hanging="142"/>
        <w:rPr>
          <w:rFonts w:cs="Tahoma"/>
          <w:iCs/>
          <w:lang w:eastAsia="sk-SK"/>
        </w:rPr>
      </w:pPr>
      <w:r w:rsidRPr="00016557">
        <w:rPr>
          <w:rFonts w:cs="Tahoma"/>
          <w:iCs/>
          <w:lang w:eastAsia="sk-SK"/>
        </w:rPr>
        <w:t>VZN</w:t>
      </w:r>
      <w:r>
        <w:rPr>
          <w:rFonts w:cs="Tahoma"/>
          <w:iCs/>
          <w:lang w:eastAsia="sk-SK"/>
        </w:rPr>
        <w:t xml:space="preserve"> č. </w:t>
      </w:r>
      <w:r w:rsidRPr="00016557">
        <w:rPr>
          <w:rFonts w:cs="Tahoma"/>
          <w:iCs/>
          <w:lang w:eastAsia="sk-SK"/>
        </w:rPr>
        <w:t>3/2015, ktorým sa určuje postup poskytovania dotácií z rozpočtu mesta Stupava</w:t>
      </w:r>
      <w:r>
        <w:rPr>
          <w:rFonts w:cs="Tahoma"/>
          <w:iCs/>
          <w:lang w:eastAsia="sk-SK"/>
        </w:rPr>
        <w:t>.</w:t>
      </w:r>
    </w:p>
    <w:p w:rsidR="00882A52" w:rsidRDefault="00882A52" w:rsidP="00882A52">
      <w:pPr>
        <w:pStyle w:val="Odsekzoznamu"/>
        <w:spacing w:after="0"/>
        <w:ind w:left="647"/>
        <w:rPr>
          <w:rFonts w:cs="Tahoma"/>
          <w:iCs/>
          <w:lang w:eastAsia="sk-SK"/>
        </w:rPr>
      </w:pPr>
    </w:p>
    <w:p w:rsidR="00E42E64" w:rsidRDefault="006A7525" w:rsidP="00755B5A">
      <w:pPr>
        <w:pStyle w:val="Odsekzoznamu"/>
        <w:spacing w:after="0"/>
        <w:ind w:left="0"/>
        <w:rPr>
          <w:rFonts w:cs="Tahoma"/>
          <w:iCs/>
          <w:lang w:eastAsia="sk-SK"/>
        </w:rPr>
      </w:pPr>
      <w:r>
        <w:rPr>
          <w:rFonts w:cs="Tahoma"/>
          <w:iCs/>
          <w:lang w:eastAsia="sk-SK"/>
        </w:rPr>
        <w:lastRenderedPageBreak/>
        <w:tab/>
      </w:r>
      <w:r w:rsidR="00755B5A">
        <w:rPr>
          <w:rFonts w:cs="Tahoma"/>
          <w:iCs/>
          <w:lang w:eastAsia="sk-SK"/>
        </w:rPr>
        <w:t xml:space="preserve">Vo všetkých kontrolovaných všeobecne záväzných nariadeniach mesta Stupava bol zistený </w:t>
      </w:r>
      <w:r w:rsidR="00882A52">
        <w:rPr>
          <w:rFonts w:cs="Tahoma"/>
          <w:iCs/>
          <w:lang w:eastAsia="sk-SK"/>
        </w:rPr>
        <w:t>nesúlad so zákonom, resp. právna</w:t>
      </w:r>
      <w:r w:rsidR="00755B5A">
        <w:rPr>
          <w:rFonts w:cs="Tahoma"/>
          <w:iCs/>
          <w:lang w:eastAsia="sk-SK"/>
        </w:rPr>
        <w:t xml:space="preserve"> nejednotnosť,</w:t>
      </w:r>
      <w:r w:rsidR="00B65A45">
        <w:rPr>
          <w:rFonts w:cs="Tahoma"/>
          <w:iCs/>
          <w:lang w:eastAsia="sk-SK"/>
        </w:rPr>
        <w:t xml:space="preserve"> napr.</w:t>
      </w:r>
      <w:r w:rsidR="00755B5A">
        <w:rPr>
          <w:rFonts w:cs="Tahoma"/>
          <w:iCs/>
          <w:lang w:eastAsia="sk-SK"/>
        </w:rPr>
        <w:t xml:space="preserve"> </w:t>
      </w:r>
      <w:r w:rsidR="00B65A45">
        <w:rPr>
          <w:rFonts w:cs="Tahoma"/>
          <w:iCs/>
          <w:lang w:eastAsia="sk-SK"/>
        </w:rPr>
        <w:t>kvôli</w:t>
      </w:r>
      <w:r w:rsidR="00755B5A">
        <w:rPr>
          <w:rFonts w:cs="Tahoma"/>
          <w:iCs/>
          <w:lang w:eastAsia="sk-SK"/>
        </w:rPr>
        <w:t xml:space="preserve"> </w:t>
      </w:r>
      <w:r w:rsidR="00B65A45">
        <w:rPr>
          <w:rFonts w:cs="Tahoma"/>
          <w:iCs/>
          <w:lang w:eastAsia="sk-SK"/>
        </w:rPr>
        <w:t>nesprávne uvedenému</w:t>
      </w:r>
      <w:r w:rsidR="00755B5A">
        <w:rPr>
          <w:rFonts w:cs="Tahoma"/>
          <w:iCs/>
          <w:lang w:eastAsia="sk-SK"/>
        </w:rPr>
        <w:t xml:space="preserve"> odkaz</w:t>
      </w:r>
      <w:r w:rsidR="00B65A45">
        <w:rPr>
          <w:rFonts w:cs="Tahoma"/>
          <w:iCs/>
          <w:lang w:eastAsia="sk-SK"/>
        </w:rPr>
        <w:t>u</w:t>
      </w:r>
      <w:r w:rsidR="00755B5A">
        <w:rPr>
          <w:rFonts w:cs="Tahoma"/>
          <w:iCs/>
          <w:lang w:eastAsia="sk-SK"/>
        </w:rPr>
        <w:t xml:space="preserve"> na </w:t>
      </w:r>
      <w:r w:rsidR="00E42E64">
        <w:rPr>
          <w:rFonts w:cs="Tahoma"/>
          <w:iCs/>
          <w:lang w:eastAsia="sk-SK"/>
        </w:rPr>
        <w:t xml:space="preserve">ustanovenie </w:t>
      </w:r>
      <w:r w:rsidR="00755B5A">
        <w:rPr>
          <w:rFonts w:cs="Tahoma"/>
          <w:iCs/>
          <w:lang w:eastAsia="sk-SK"/>
        </w:rPr>
        <w:t>zákon</w:t>
      </w:r>
      <w:r w:rsidR="00E42E64">
        <w:rPr>
          <w:rFonts w:cs="Tahoma"/>
          <w:iCs/>
          <w:lang w:eastAsia="sk-SK"/>
        </w:rPr>
        <w:t>a</w:t>
      </w:r>
      <w:r w:rsidR="00755B5A">
        <w:rPr>
          <w:rFonts w:cs="Tahoma"/>
          <w:iCs/>
          <w:lang w:eastAsia="sk-SK"/>
        </w:rPr>
        <w:t>,</w:t>
      </w:r>
      <w:r w:rsidR="00B65A45">
        <w:rPr>
          <w:rFonts w:cs="Tahoma"/>
          <w:iCs/>
          <w:lang w:eastAsia="sk-SK"/>
        </w:rPr>
        <w:t xml:space="preserve"> alebo </w:t>
      </w:r>
      <w:r w:rsidR="00E42E64">
        <w:rPr>
          <w:rFonts w:cs="Tahoma"/>
          <w:iCs/>
          <w:lang w:eastAsia="sk-SK"/>
        </w:rPr>
        <w:t>odkaz</w:t>
      </w:r>
      <w:r w:rsidR="00B65A45">
        <w:rPr>
          <w:rFonts w:cs="Tahoma"/>
          <w:iCs/>
          <w:lang w:eastAsia="sk-SK"/>
        </w:rPr>
        <w:t>u</w:t>
      </w:r>
      <w:r w:rsidR="00E42E64">
        <w:rPr>
          <w:rFonts w:cs="Tahoma"/>
          <w:iCs/>
          <w:lang w:eastAsia="sk-SK"/>
        </w:rPr>
        <w:t xml:space="preserve"> na už zrušený zákon,</w:t>
      </w:r>
      <w:r w:rsidR="00755B5A">
        <w:rPr>
          <w:rFonts w:cs="Tahoma"/>
          <w:iCs/>
          <w:lang w:eastAsia="sk-SK"/>
        </w:rPr>
        <w:t xml:space="preserve"> </w:t>
      </w:r>
      <w:r w:rsidR="00E42E64">
        <w:rPr>
          <w:rFonts w:cs="Tahoma"/>
          <w:iCs/>
          <w:lang w:eastAsia="sk-SK"/>
        </w:rPr>
        <w:t>vo viacerých prípadoch</w:t>
      </w:r>
      <w:r w:rsidR="00755B5A">
        <w:rPr>
          <w:rFonts w:cs="Tahoma"/>
          <w:iCs/>
          <w:lang w:eastAsia="sk-SK"/>
        </w:rPr>
        <w:t xml:space="preserve"> chýba časť vety alebo slovo a iné. </w:t>
      </w:r>
    </w:p>
    <w:p w:rsidR="00E42E64" w:rsidRDefault="00E42E64" w:rsidP="00755B5A">
      <w:pPr>
        <w:pStyle w:val="Odsekzoznamu"/>
        <w:spacing w:after="0"/>
        <w:ind w:left="0"/>
        <w:rPr>
          <w:bCs/>
        </w:rPr>
      </w:pPr>
      <w:r>
        <w:rPr>
          <w:rFonts w:cs="Tahoma"/>
          <w:iCs/>
          <w:lang w:eastAsia="sk-SK"/>
        </w:rPr>
        <w:tab/>
        <w:t xml:space="preserve">V prípade kontrolovaného </w:t>
      </w:r>
      <w:r w:rsidRPr="00A902A5">
        <w:rPr>
          <w:rFonts w:cs="Tahoma"/>
          <w:b/>
          <w:iCs/>
          <w:lang w:eastAsia="sk-SK"/>
        </w:rPr>
        <w:t>VZN č. 3/1999</w:t>
      </w:r>
      <w:r>
        <w:rPr>
          <w:rFonts w:cs="Tahoma"/>
          <w:iCs/>
          <w:lang w:eastAsia="sk-SK"/>
        </w:rPr>
        <w:t xml:space="preserve"> </w:t>
      </w:r>
      <w:r w:rsidRPr="00016557">
        <w:rPr>
          <w:iCs/>
          <w:lang w:eastAsia="sk-SK"/>
        </w:rPr>
        <w:t>o vykonávaní ochrannej deratizácie a</w:t>
      </w:r>
      <w:r>
        <w:rPr>
          <w:iCs/>
          <w:lang w:eastAsia="sk-SK"/>
        </w:rPr>
        <w:t> </w:t>
      </w:r>
      <w:r w:rsidRPr="00016557">
        <w:rPr>
          <w:iCs/>
          <w:lang w:eastAsia="sk-SK"/>
        </w:rPr>
        <w:t>dezinsekcie</w:t>
      </w:r>
      <w:r>
        <w:rPr>
          <w:iCs/>
          <w:lang w:eastAsia="sk-SK"/>
        </w:rPr>
        <w:t xml:space="preserve"> je odporúčaním </w:t>
      </w:r>
      <w:r w:rsidRPr="00927DFA">
        <w:rPr>
          <w:bCs/>
        </w:rPr>
        <w:t xml:space="preserve">zrušiť </w:t>
      </w:r>
      <w:r w:rsidR="00A902A5">
        <w:rPr>
          <w:bCs/>
        </w:rPr>
        <w:t xml:space="preserve">predmetné </w:t>
      </w:r>
      <w:r w:rsidRPr="00927DFA">
        <w:rPr>
          <w:bCs/>
        </w:rPr>
        <w:t>VZ</w:t>
      </w:r>
      <w:r w:rsidR="00A902A5">
        <w:rPr>
          <w:bCs/>
        </w:rPr>
        <w:t>N</w:t>
      </w:r>
      <w:r>
        <w:rPr>
          <w:bCs/>
        </w:rPr>
        <w:t xml:space="preserve"> a </w:t>
      </w:r>
      <w:r w:rsidRPr="00927DFA">
        <w:t xml:space="preserve">pripraviť nové VZN o vykonávaní dezinfekcie a regulácie živočíšnych škodcov podľa zákona </w:t>
      </w:r>
      <w:r w:rsidRPr="00927DFA">
        <w:rPr>
          <w:bCs/>
        </w:rPr>
        <w:t xml:space="preserve">č. 355/2007 Z. z. </w:t>
      </w:r>
      <w:r w:rsidRPr="00927DFA">
        <w:t xml:space="preserve">o </w:t>
      </w:r>
      <w:r w:rsidRPr="00927DFA">
        <w:rPr>
          <w:bCs/>
        </w:rPr>
        <w:t>ochrane, podpore a rozvoji verejného zdravia a o zmene a doplnení niektorých zákonov v z. n. p.</w:t>
      </w:r>
      <w:r>
        <w:rPr>
          <w:bCs/>
        </w:rPr>
        <w:t xml:space="preserve">, nakoľko zákon v rámci ktorého bolo VZN vydané, je zrušený. </w:t>
      </w:r>
      <w:r w:rsidRPr="00A902A5">
        <w:rPr>
          <w:bCs/>
          <w:u w:val="single"/>
        </w:rPr>
        <w:t>Povinná osoba nemala námietky</w:t>
      </w:r>
      <w:r>
        <w:rPr>
          <w:bCs/>
        </w:rPr>
        <w:t>.</w:t>
      </w:r>
    </w:p>
    <w:p w:rsidR="008F35BC" w:rsidRDefault="00E42E64" w:rsidP="00755B5A">
      <w:pPr>
        <w:pStyle w:val="Odsekzoznamu"/>
        <w:spacing w:after="0"/>
        <w:ind w:left="0"/>
        <w:rPr>
          <w:rFonts w:eastAsia="Times New Roman" w:cs="Tahoma"/>
          <w:iCs/>
          <w:lang w:eastAsia="sk-SK"/>
        </w:rPr>
      </w:pPr>
      <w:r>
        <w:rPr>
          <w:bCs/>
        </w:rPr>
        <w:tab/>
        <w:t xml:space="preserve">V prípade </w:t>
      </w:r>
      <w:r w:rsidR="0016430E">
        <w:rPr>
          <w:rFonts w:cs="Tahoma"/>
          <w:iCs/>
          <w:lang w:eastAsia="sk-SK"/>
        </w:rPr>
        <w:t>kontrolovaného</w:t>
      </w:r>
      <w:r w:rsidR="0016430E">
        <w:rPr>
          <w:bCs/>
        </w:rPr>
        <w:t xml:space="preserve"> </w:t>
      </w:r>
      <w:r w:rsidRPr="00A902A5">
        <w:rPr>
          <w:b/>
          <w:bCs/>
        </w:rPr>
        <w:t>VZN č. 4/2008</w:t>
      </w:r>
      <w:r w:rsidRPr="00016557">
        <w:rPr>
          <w:bCs/>
        </w:rPr>
        <w:t xml:space="preserve"> „</w:t>
      </w:r>
      <w:r w:rsidRPr="00016557">
        <w:rPr>
          <w:rFonts w:cs="Tahoma"/>
          <w:iCs/>
          <w:lang w:eastAsia="sk-SK"/>
        </w:rPr>
        <w:t>Rozpočtové pravidlá mesta STUPAVA“</w:t>
      </w:r>
      <w:r>
        <w:rPr>
          <w:rFonts w:cs="Tahoma"/>
          <w:iCs/>
          <w:lang w:eastAsia="sk-SK"/>
        </w:rPr>
        <w:t xml:space="preserve"> je </w:t>
      </w:r>
      <w:r w:rsidR="005B7833">
        <w:rPr>
          <w:rFonts w:cs="Tahoma"/>
          <w:iCs/>
          <w:lang w:eastAsia="sk-SK"/>
        </w:rPr>
        <w:t>odporúčané vykonať viacero</w:t>
      </w:r>
      <w:r w:rsidR="008F35BC">
        <w:rPr>
          <w:rFonts w:cs="Tahoma"/>
          <w:iCs/>
          <w:lang w:eastAsia="sk-SK"/>
        </w:rPr>
        <w:t xml:space="preserve"> zmien najmä</w:t>
      </w:r>
      <w:r w:rsidR="005B7833">
        <w:rPr>
          <w:rFonts w:cs="Tahoma"/>
          <w:iCs/>
          <w:lang w:eastAsia="sk-SK"/>
        </w:rPr>
        <w:t xml:space="preserve"> vzhľadom na podmienky fungovania vnútorného kontrolného mechanizmu samosprávy mesta Stupava.</w:t>
      </w:r>
      <w:r w:rsidR="008F35BC">
        <w:rPr>
          <w:rFonts w:cs="Tahoma"/>
          <w:iCs/>
          <w:lang w:eastAsia="sk-SK"/>
        </w:rPr>
        <w:t xml:space="preserve"> </w:t>
      </w:r>
      <w:r w:rsidR="008F35BC" w:rsidRPr="00A902A5">
        <w:rPr>
          <w:rFonts w:cs="Tahoma"/>
          <w:iCs/>
          <w:u w:val="single"/>
          <w:lang w:eastAsia="sk-SK"/>
        </w:rPr>
        <w:t>Povinná osoba vo väčšine namietala</w:t>
      </w:r>
      <w:r w:rsidR="008F35BC">
        <w:rPr>
          <w:rFonts w:cs="Tahoma"/>
          <w:iCs/>
          <w:lang w:eastAsia="sk-SK"/>
        </w:rPr>
        <w:t xml:space="preserve"> </w:t>
      </w:r>
      <w:r w:rsidR="008F35BC">
        <w:rPr>
          <w:rFonts w:eastAsia="Times New Roman" w:cs="Tahoma"/>
          <w:iCs/>
          <w:lang w:eastAsia="sk-SK"/>
        </w:rPr>
        <w:t>ku</w:t>
      </w:r>
      <w:r w:rsidR="00107AA3">
        <w:rPr>
          <w:rFonts w:eastAsia="Times New Roman" w:cs="Tahoma"/>
          <w:iCs/>
          <w:lang w:eastAsia="sk-SK"/>
        </w:rPr>
        <w:t> </w:t>
      </w:r>
      <w:r w:rsidR="008F35BC">
        <w:rPr>
          <w:rFonts w:eastAsia="Times New Roman" w:cs="Tahoma"/>
          <w:iCs/>
          <w:lang w:eastAsia="sk-SK"/>
        </w:rPr>
        <w:t>kontrolným zisteniam</w:t>
      </w:r>
      <w:r w:rsidR="00107AA3">
        <w:rPr>
          <w:rFonts w:eastAsia="Times New Roman" w:cs="Tahoma"/>
          <w:iCs/>
          <w:lang w:eastAsia="sk-SK"/>
        </w:rPr>
        <w:t xml:space="preserve"> a ich odporúčaniam</w:t>
      </w:r>
      <w:r w:rsidR="008F35BC">
        <w:rPr>
          <w:rFonts w:eastAsia="Times New Roman" w:cs="Tahoma"/>
          <w:iCs/>
          <w:lang w:eastAsia="sk-SK"/>
        </w:rPr>
        <w:t xml:space="preserve">, že </w:t>
      </w:r>
      <w:r w:rsidR="008F35BC" w:rsidRPr="008F35BC">
        <w:rPr>
          <w:rFonts w:eastAsia="Times New Roman" w:cs="Tahoma"/>
          <w:iCs/>
          <w:lang w:eastAsia="sk-SK"/>
        </w:rPr>
        <w:t>nemajú byť uvedené  po obsahovej stránke v Návrhu správy, nakoľko nie sú dôsledkom porušenia zákona, a preto sú neopodstatnené.</w:t>
      </w:r>
      <w:r w:rsidR="008F35BC">
        <w:rPr>
          <w:rFonts w:eastAsia="Times New Roman" w:cs="Tahoma"/>
          <w:iCs/>
          <w:lang w:eastAsia="sk-SK"/>
        </w:rPr>
        <w:t xml:space="preserve"> Všetky podobné námietky sú neopodstatnené, pretože všetky kontrolné zistenia sa týkajú zabezpečenia správneho a efektívneho riadenia v rámci orgánu verejnej správy.</w:t>
      </w:r>
    </w:p>
    <w:p w:rsidR="0016430E" w:rsidRDefault="008F35BC" w:rsidP="0016430E">
      <w:pPr>
        <w:pStyle w:val="Odsekzoznamu"/>
        <w:ind w:left="0" w:firstLine="567"/>
      </w:pPr>
      <w:r>
        <w:rPr>
          <w:rFonts w:eastAsia="Times New Roman" w:cs="Tahoma"/>
          <w:iCs/>
          <w:lang w:eastAsia="sk-SK"/>
        </w:rPr>
        <w:tab/>
      </w:r>
      <w:r w:rsidR="0016430E">
        <w:rPr>
          <w:rFonts w:eastAsia="Times New Roman" w:cs="Tahoma"/>
          <w:iCs/>
          <w:lang w:eastAsia="sk-SK"/>
        </w:rPr>
        <w:t xml:space="preserve">V prípade </w:t>
      </w:r>
      <w:r w:rsidR="0016430E">
        <w:rPr>
          <w:rFonts w:cs="Tahoma"/>
          <w:iCs/>
          <w:lang w:eastAsia="sk-SK"/>
        </w:rPr>
        <w:t>kontrolovaného</w:t>
      </w:r>
      <w:r w:rsidR="0016430E">
        <w:rPr>
          <w:rFonts w:eastAsia="Times New Roman" w:cs="Tahoma"/>
          <w:iCs/>
          <w:lang w:eastAsia="sk-SK"/>
        </w:rPr>
        <w:t xml:space="preserve"> </w:t>
      </w:r>
      <w:r w:rsidR="0016430E" w:rsidRPr="00A902A5">
        <w:rPr>
          <w:rFonts w:eastAsia="Times New Roman" w:cs="Tahoma"/>
          <w:b/>
          <w:iCs/>
          <w:lang w:eastAsia="sk-SK"/>
        </w:rPr>
        <w:t>VZN</w:t>
      </w:r>
      <w:r w:rsidRPr="00A902A5">
        <w:rPr>
          <w:rFonts w:cs="Tahoma"/>
          <w:b/>
          <w:iCs/>
          <w:lang w:eastAsia="sk-SK"/>
        </w:rPr>
        <w:t xml:space="preserve"> </w:t>
      </w:r>
      <w:r w:rsidR="0016430E" w:rsidRPr="00A902A5">
        <w:rPr>
          <w:b/>
        </w:rPr>
        <w:t>č. 1/2009</w:t>
      </w:r>
      <w:r w:rsidR="0016430E" w:rsidRPr="00016557">
        <w:t xml:space="preserve"> </w:t>
      </w:r>
      <w:r w:rsidR="0016430E" w:rsidRPr="00016557">
        <w:rPr>
          <w:iCs/>
          <w:lang w:eastAsia="sk-SK"/>
        </w:rPr>
        <w:t>o určení miesta a času zápisu dieťaťa na plnenie povinnej školskej dochádzky v základných školách, ktorých zriaďovateľom je Mesto Stupava</w:t>
      </w:r>
      <w:r w:rsidR="0016430E">
        <w:rPr>
          <w:iCs/>
          <w:lang w:eastAsia="sk-SK"/>
        </w:rPr>
        <w:t xml:space="preserve"> bolo odporúčaním zmeniť VZN. </w:t>
      </w:r>
      <w:r w:rsidR="0016430E" w:rsidRPr="00A902A5">
        <w:rPr>
          <w:u w:val="single"/>
        </w:rPr>
        <w:t>Povinná osoba nepodala námietky</w:t>
      </w:r>
      <w:r w:rsidR="0016430E">
        <w:t xml:space="preserve"> a pripravila návrh nového VZN o určení miesta a času zápisu dieťaťa na plnenie povinnej školskej dochádzky v základnej škole, ktorej zriaďovateľom je Mesto Stupava. Vyvesený bol 02.09.2016 a rokovať o ňom bude</w:t>
      </w:r>
      <w:r w:rsidR="003A533B">
        <w:t xml:space="preserve"> MsZ Stupava</w:t>
      </w:r>
      <w:r w:rsidR="0016430E">
        <w:t xml:space="preserve"> na</w:t>
      </w:r>
      <w:r w:rsidR="003A533B">
        <w:t xml:space="preserve"> svojom</w:t>
      </w:r>
      <w:r w:rsidR="0016430E">
        <w:t xml:space="preserve"> </w:t>
      </w:r>
      <w:r w:rsidR="00107AA3">
        <w:t xml:space="preserve">15. </w:t>
      </w:r>
      <w:r w:rsidR="0016430E">
        <w:t>zasadnutí dňa 19.09.2016.</w:t>
      </w:r>
    </w:p>
    <w:p w:rsidR="00E42E64" w:rsidRDefault="0016430E" w:rsidP="00755B5A">
      <w:pPr>
        <w:pStyle w:val="Odsekzoznamu"/>
        <w:spacing w:after="0"/>
        <w:ind w:left="0"/>
      </w:pPr>
      <w:r>
        <w:rPr>
          <w:rFonts w:cs="Tahoma"/>
          <w:iCs/>
          <w:lang w:eastAsia="sk-SK"/>
        </w:rPr>
        <w:tab/>
      </w:r>
      <w:r>
        <w:rPr>
          <w:rFonts w:eastAsia="Times New Roman" w:cs="Tahoma"/>
          <w:iCs/>
          <w:lang w:eastAsia="sk-SK"/>
        </w:rPr>
        <w:t xml:space="preserve">V prípade </w:t>
      </w:r>
      <w:r>
        <w:rPr>
          <w:rFonts w:cs="Tahoma"/>
          <w:iCs/>
          <w:lang w:eastAsia="sk-SK"/>
        </w:rPr>
        <w:t>kontrolovaného</w:t>
      </w:r>
      <w:r>
        <w:rPr>
          <w:rFonts w:eastAsia="Times New Roman" w:cs="Tahoma"/>
          <w:iCs/>
          <w:lang w:eastAsia="sk-SK"/>
        </w:rPr>
        <w:t xml:space="preserve"> </w:t>
      </w:r>
      <w:r w:rsidRPr="006D6C42">
        <w:rPr>
          <w:rFonts w:eastAsia="Times New Roman" w:cs="Tahoma"/>
          <w:b/>
          <w:iCs/>
          <w:lang w:eastAsia="sk-SK"/>
        </w:rPr>
        <w:t xml:space="preserve">VZN </w:t>
      </w:r>
      <w:r w:rsidRPr="006D6C42">
        <w:rPr>
          <w:rFonts w:cs="Tahoma"/>
          <w:b/>
          <w:iCs/>
          <w:lang w:eastAsia="sk-SK"/>
        </w:rPr>
        <w:t>č. 2/2009</w:t>
      </w:r>
      <w:r w:rsidRPr="00016557">
        <w:rPr>
          <w:rFonts w:cs="Tahoma"/>
          <w:iCs/>
          <w:lang w:eastAsia="sk-SK"/>
        </w:rPr>
        <w:t xml:space="preserve"> o spôsobe určenia úhrady, výške ú</w:t>
      </w:r>
      <w:r w:rsidR="00107AA3">
        <w:rPr>
          <w:rFonts w:cs="Tahoma"/>
          <w:iCs/>
          <w:lang w:eastAsia="sk-SK"/>
        </w:rPr>
        <w:t>hrady a spôsobe jej platenia</w:t>
      </w:r>
      <w:r w:rsidRPr="00016557">
        <w:rPr>
          <w:rFonts w:cs="Tahoma"/>
          <w:iCs/>
          <w:lang w:eastAsia="sk-SK"/>
        </w:rPr>
        <w:t xml:space="preserve"> za opatrovateľskú službu a dovoz obedov, poskytované Mestom Stupava</w:t>
      </w:r>
      <w:r>
        <w:rPr>
          <w:rFonts w:cs="Tahoma"/>
          <w:iCs/>
          <w:lang w:eastAsia="sk-SK"/>
        </w:rPr>
        <w:t xml:space="preserve"> je odporúčaním zmeniť ho podľa </w:t>
      </w:r>
      <w:r>
        <w:t xml:space="preserve">odporúčaní uvedených v texte Správy z kontroly a zosúladiť s platnými právnymi predpismi. </w:t>
      </w:r>
      <w:r w:rsidRPr="006D6C42">
        <w:rPr>
          <w:u w:val="single"/>
        </w:rPr>
        <w:t>Povinná osoba nemala námietky</w:t>
      </w:r>
      <w:r>
        <w:t>.</w:t>
      </w:r>
    </w:p>
    <w:p w:rsidR="0016430E" w:rsidRDefault="0016430E" w:rsidP="00755B5A">
      <w:pPr>
        <w:pStyle w:val="Odsekzoznamu"/>
        <w:spacing w:after="0"/>
        <w:ind w:left="0"/>
        <w:rPr>
          <w:iCs/>
          <w:lang w:eastAsia="sk-SK"/>
        </w:rPr>
      </w:pPr>
      <w:r>
        <w:tab/>
      </w:r>
      <w:r w:rsidR="00496B74">
        <w:rPr>
          <w:rFonts w:eastAsia="Times New Roman" w:cs="Tahoma"/>
          <w:iCs/>
          <w:lang w:eastAsia="sk-SK"/>
        </w:rPr>
        <w:t xml:space="preserve">V prípade </w:t>
      </w:r>
      <w:r w:rsidR="00496B74">
        <w:rPr>
          <w:rFonts w:cs="Tahoma"/>
          <w:iCs/>
          <w:lang w:eastAsia="sk-SK"/>
        </w:rPr>
        <w:t>kontrolovaného</w:t>
      </w:r>
      <w:r w:rsidR="00496B74">
        <w:rPr>
          <w:rFonts w:eastAsia="Times New Roman" w:cs="Tahoma"/>
          <w:iCs/>
          <w:lang w:eastAsia="sk-SK"/>
        </w:rPr>
        <w:t xml:space="preserve"> </w:t>
      </w:r>
      <w:r w:rsidR="00496B74" w:rsidRPr="006D6C42">
        <w:rPr>
          <w:rFonts w:eastAsia="Times New Roman" w:cs="Tahoma"/>
          <w:b/>
          <w:iCs/>
          <w:lang w:eastAsia="sk-SK"/>
        </w:rPr>
        <w:t>VZN č</w:t>
      </w:r>
      <w:r w:rsidR="00496B74" w:rsidRPr="006D6C42">
        <w:rPr>
          <w:rFonts w:cs="Tahoma"/>
          <w:b/>
          <w:iCs/>
          <w:lang w:eastAsia="sk-SK"/>
        </w:rPr>
        <w:t>. 1/2013</w:t>
      </w:r>
      <w:r w:rsidR="00496B74">
        <w:rPr>
          <w:rFonts w:cs="Tahoma"/>
          <w:iCs/>
          <w:lang w:eastAsia="sk-SK"/>
        </w:rPr>
        <w:t xml:space="preserve"> </w:t>
      </w:r>
      <w:r w:rsidR="00496B74" w:rsidRPr="00183D93">
        <w:rPr>
          <w:iCs/>
          <w:lang w:eastAsia="sk-SK"/>
        </w:rPr>
        <w:t>o určení podrobností financovania a výšky dotácie na prevádzku a mzdy na žiaka ZUŠ, dieťa MŠ a dieťa školských zariadení v zriaďovateľskej pôsobnosti mesta Stupava</w:t>
      </w:r>
      <w:r w:rsidR="00A902A5">
        <w:rPr>
          <w:iCs/>
          <w:lang w:eastAsia="sk-SK"/>
        </w:rPr>
        <w:t xml:space="preserve"> je odporúčané doplniť VZN, aj keď nejde o zákonnú povinnosť, avšak ide o princíp transparentnosti.</w:t>
      </w:r>
      <w:r w:rsidR="006D6C42">
        <w:rPr>
          <w:iCs/>
          <w:lang w:eastAsia="sk-SK"/>
        </w:rPr>
        <w:t xml:space="preserve"> </w:t>
      </w:r>
      <w:r w:rsidR="006D6C42" w:rsidRPr="00920979">
        <w:rPr>
          <w:iCs/>
          <w:u w:val="single"/>
          <w:lang w:eastAsia="sk-SK"/>
        </w:rPr>
        <w:t>Povinná osoba podala námietky</w:t>
      </w:r>
      <w:r w:rsidR="00920979">
        <w:rPr>
          <w:iCs/>
          <w:lang w:eastAsia="sk-SK"/>
        </w:rPr>
        <w:t>, ktoré boli vyhodnotené v jednom prípade ako opodstatnené a v ďalších prípadoch ako neopodstatnené.</w:t>
      </w:r>
    </w:p>
    <w:p w:rsidR="00A902A5" w:rsidRDefault="00A902A5" w:rsidP="00755B5A">
      <w:pPr>
        <w:pStyle w:val="Odsekzoznamu"/>
        <w:spacing w:after="0"/>
        <w:ind w:left="0"/>
        <w:rPr>
          <w:rFonts w:cs="Tahoma"/>
          <w:iCs/>
          <w:lang w:eastAsia="sk-SK"/>
        </w:rPr>
      </w:pPr>
      <w:r>
        <w:rPr>
          <w:iCs/>
          <w:lang w:eastAsia="sk-SK"/>
        </w:rPr>
        <w:tab/>
        <w:t xml:space="preserve">V </w:t>
      </w:r>
      <w:r>
        <w:rPr>
          <w:rFonts w:eastAsia="Times New Roman" w:cs="Tahoma"/>
          <w:iCs/>
          <w:lang w:eastAsia="sk-SK"/>
        </w:rPr>
        <w:t xml:space="preserve">prípade </w:t>
      </w:r>
      <w:r>
        <w:rPr>
          <w:rFonts w:cs="Tahoma"/>
          <w:iCs/>
          <w:lang w:eastAsia="sk-SK"/>
        </w:rPr>
        <w:t>kontrolovaného</w:t>
      </w:r>
      <w:r>
        <w:rPr>
          <w:rFonts w:eastAsia="Times New Roman" w:cs="Tahoma"/>
          <w:iCs/>
          <w:lang w:eastAsia="sk-SK"/>
        </w:rPr>
        <w:t xml:space="preserve"> </w:t>
      </w:r>
      <w:r w:rsidRPr="00920979">
        <w:rPr>
          <w:rFonts w:eastAsia="Times New Roman" w:cs="Tahoma"/>
          <w:b/>
          <w:iCs/>
          <w:lang w:eastAsia="sk-SK"/>
        </w:rPr>
        <w:t xml:space="preserve">VZN </w:t>
      </w:r>
      <w:r w:rsidRPr="00920979">
        <w:rPr>
          <w:rFonts w:cs="Tahoma"/>
          <w:b/>
          <w:iCs/>
          <w:lang w:eastAsia="sk-SK"/>
        </w:rPr>
        <w:t>č. 3/2015</w:t>
      </w:r>
      <w:r w:rsidRPr="00016557">
        <w:rPr>
          <w:rFonts w:cs="Tahoma"/>
          <w:iCs/>
          <w:lang w:eastAsia="sk-SK"/>
        </w:rPr>
        <w:t>, ktorým sa určuje postup poskytovania dotácií z rozpočtu mesta Stupava</w:t>
      </w:r>
      <w:r>
        <w:rPr>
          <w:rFonts w:cs="Tahoma"/>
          <w:iCs/>
          <w:lang w:eastAsia="sk-SK"/>
        </w:rPr>
        <w:t xml:space="preserve"> </w:t>
      </w:r>
      <w:r w:rsidR="00920979">
        <w:rPr>
          <w:rFonts w:cs="Tahoma"/>
          <w:iCs/>
          <w:lang w:eastAsia="sk-SK"/>
        </w:rPr>
        <w:t xml:space="preserve">sú odporúčané </w:t>
      </w:r>
      <w:r w:rsidR="00107AA3">
        <w:rPr>
          <w:rFonts w:cs="Tahoma"/>
          <w:iCs/>
          <w:lang w:eastAsia="sk-SK"/>
        </w:rPr>
        <w:t xml:space="preserve">tri zmeny, z toho </w:t>
      </w:r>
      <w:r w:rsidR="00920979">
        <w:rPr>
          <w:rFonts w:cs="Tahoma"/>
          <w:iCs/>
          <w:lang w:eastAsia="sk-SK"/>
        </w:rPr>
        <w:t xml:space="preserve">dve doplnenia predmetného VZN. </w:t>
      </w:r>
      <w:r w:rsidR="00920979" w:rsidRPr="00920979">
        <w:rPr>
          <w:rFonts w:cs="Tahoma"/>
          <w:iCs/>
          <w:u w:val="single"/>
          <w:lang w:eastAsia="sk-SK"/>
        </w:rPr>
        <w:t xml:space="preserve">Námietky </w:t>
      </w:r>
      <w:r w:rsidR="00920979" w:rsidRPr="00107AA3">
        <w:rPr>
          <w:rFonts w:cs="Tahoma"/>
          <w:iCs/>
          <w:u w:val="single"/>
          <w:lang w:eastAsia="sk-SK"/>
        </w:rPr>
        <w:t>povinnej osoby</w:t>
      </w:r>
      <w:r w:rsidR="00107AA3" w:rsidRPr="00107AA3">
        <w:rPr>
          <w:rFonts w:cs="Tahoma"/>
          <w:iCs/>
          <w:lang w:eastAsia="sk-SK"/>
        </w:rPr>
        <w:t xml:space="preserve"> na tieto dve </w:t>
      </w:r>
      <w:r w:rsidR="00107AA3">
        <w:rPr>
          <w:rFonts w:cs="Tahoma"/>
          <w:iCs/>
          <w:lang w:eastAsia="sk-SK"/>
        </w:rPr>
        <w:t>doplne</w:t>
      </w:r>
      <w:r w:rsidR="00107AA3" w:rsidRPr="00107AA3">
        <w:rPr>
          <w:rFonts w:cs="Tahoma"/>
          <w:iCs/>
          <w:lang w:eastAsia="sk-SK"/>
        </w:rPr>
        <w:t>nia</w:t>
      </w:r>
      <w:r w:rsidR="00920979">
        <w:rPr>
          <w:rFonts w:cs="Tahoma"/>
          <w:iCs/>
          <w:lang w:eastAsia="sk-SK"/>
        </w:rPr>
        <w:t xml:space="preserve"> boli vyhodnotené ako neopodstatnené.</w:t>
      </w:r>
    </w:p>
    <w:p w:rsidR="00920979" w:rsidRDefault="00920979" w:rsidP="00755B5A">
      <w:pPr>
        <w:pStyle w:val="Odsekzoznamu"/>
        <w:spacing w:after="0"/>
        <w:ind w:left="0"/>
        <w:rPr>
          <w:rFonts w:cs="Tahoma"/>
          <w:iCs/>
          <w:lang w:eastAsia="sk-SK"/>
        </w:rPr>
      </w:pPr>
      <w:r>
        <w:rPr>
          <w:rFonts w:cs="Tahoma"/>
          <w:iCs/>
          <w:lang w:eastAsia="sk-SK"/>
        </w:rPr>
        <w:tab/>
        <w:t>Ďalšími odporúčaniami uvedenými v Správe z kontroly je napr.</w:t>
      </w:r>
      <w:r w:rsidRPr="00920979">
        <w:t xml:space="preserve"> </w:t>
      </w:r>
      <w:r>
        <w:t>zabezpečiť pravidelnú aktualizáciu jednotlivých VZN</w:t>
      </w:r>
      <w:r>
        <w:rPr>
          <w:rFonts w:cs="Tahoma"/>
          <w:iCs/>
          <w:lang w:eastAsia="sk-SK"/>
        </w:rPr>
        <w:t xml:space="preserve">, </w:t>
      </w:r>
      <w:r>
        <w:t>zverejniť VZN, ktoré sú v platnosti, v evidencii o VZN uvádzať deň vyvesenia VZN a iné.</w:t>
      </w:r>
    </w:p>
    <w:p w:rsidR="00755B5A" w:rsidRPr="00755B5A" w:rsidRDefault="00920979" w:rsidP="00755B5A">
      <w:pPr>
        <w:pStyle w:val="Odsekzoznamu"/>
        <w:spacing w:after="0"/>
        <w:ind w:left="0"/>
        <w:rPr>
          <w:rFonts w:cs="Tahoma"/>
          <w:iCs/>
          <w:lang w:eastAsia="sk-SK"/>
        </w:rPr>
      </w:pPr>
      <w:r>
        <w:rPr>
          <w:rFonts w:cs="Tahoma"/>
          <w:iCs/>
          <w:lang w:eastAsia="sk-SK"/>
        </w:rPr>
        <w:tab/>
        <w:t>Vo všeobecnosti je odporúčaním</w:t>
      </w:r>
      <w:r w:rsidR="00755B5A">
        <w:rPr>
          <w:rFonts w:cs="Tahoma"/>
          <w:iCs/>
          <w:lang w:eastAsia="sk-SK"/>
        </w:rPr>
        <w:t xml:space="preserve"> upraviť VZN v súlade so zákonom, pretože VZN je v porovnaní so zákonom predpis nižšej právnej sily, je podriadený zákonu, a preto je potrebné, aby bol v súlade a v právnej jednomyseľnosti so zákonom upravujúcim tieto právne vzťahy.</w:t>
      </w:r>
    </w:p>
    <w:p w:rsidR="007E1CB5" w:rsidRDefault="007E1CB5" w:rsidP="007E1CB5">
      <w:pPr>
        <w:spacing w:after="0"/>
        <w:ind w:firstLine="708"/>
      </w:pPr>
    </w:p>
    <w:p w:rsidR="00107AA3" w:rsidRDefault="00107AA3" w:rsidP="007E1CB5">
      <w:pPr>
        <w:spacing w:after="0"/>
        <w:ind w:firstLine="708"/>
      </w:pPr>
    </w:p>
    <w:p w:rsidR="00A12895" w:rsidRDefault="00EF69A0" w:rsidP="00BE4420">
      <w:r>
        <w:t>V</w:t>
      </w:r>
      <w:r w:rsidR="005A630F">
        <w:t> </w:t>
      </w:r>
      <w:r>
        <w:t>Stupave</w:t>
      </w:r>
      <w:r w:rsidR="005A630F">
        <w:t>,</w:t>
      </w:r>
      <w:r>
        <w:t xml:space="preserve"> dňa </w:t>
      </w:r>
      <w:r w:rsidR="00A12895">
        <w:t>8</w:t>
      </w:r>
      <w:r w:rsidR="006C739A">
        <w:t>. septembra</w:t>
      </w:r>
      <w:r>
        <w:t xml:space="preserve"> </w:t>
      </w:r>
      <w:r w:rsidR="00FD69A1">
        <w:t>2016</w:t>
      </w:r>
      <w:r w:rsidR="00602097">
        <w:br w:type="page"/>
      </w:r>
    </w:p>
    <w:tbl>
      <w:tblPr>
        <w:tblStyle w:val="Mriekatabuky"/>
        <w:tblpPr w:leftFromText="141" w:rightFromText="141" w:vertAnchor="page" w:horzAnchor="margin" w:tblpX="-298" w:tblpY="1291"/>
        <w:tblW w:w="9811" w:type="dxa"/>
        <w:tblLook w:val="04A0" w:firstRow="1" w:lastRow="0" w:firstColumn="1" w:lastColumn="0" w:noHBand="0" w:noVBand="1"/>
      </w:tblPr>
      <w:tblGrid>
        <w:gridCol w:w="833"/>
        <w:gridCol w:w="4152"/>
        <w:gridCol w:w="1037"/>
        <w:gridCol w:w="1092"/>
        <w:gridCol w:w="1393"/>
        <w:gridCol w:w="1304"/>
      </w:tblGrid>
      <w:tr w:rsidR="00A12895" w:rsidTr="007E1CB5">
        <w:trPr>
          <w:trHeight w:val="286"/>
        </w:trPr>
        <w:tc>
          <w:tcPr>
            <w:tcW w:w="833" w:type="dxa"/>
            <w:shd w:val="clear" w:color="auto" w:fill="BFBFBF" w:themeFill="background1" w:themeFillShade="BF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1289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Číslo VZN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12895">
              <w:rPr>
                <w:rFonts w:asciiTheme="minorHAnsi" w:hAnsiTheme="minorHAnsi"/>
                <w:b/>
                <w:sz w:val="18"/>
                <w:szCs w:val="18"/>
              </w:rPr>
              <w:t>Názov VZN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12895">
              <w:rPr>
                <w:rFonts w:asciiTheme="minorHAnsi" w:hAnsiTheme="minorHAnsi"/>
                <w:b/>
                <w:sz w:val="18"/>
                <w:szCs w:val="18"/>
              </w:rPr>
              <w:t>Schválené MsZ dňa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12895">
              <w:rPr>
                <w:rFonts w:asciiTheme="minorHAnsi" w:hAnsiTheme="minorHAnsi"/>
                <w:b/>
                <w:sz w:val="18"/>
                <w:szCs w:val="18"/>
              </w:rPr>
              <w:t xml:space="preserve">Uznesenie č. 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12895">
              <w:rPr>
                <w:rFonts w:asciiTheme="minorHAnsi" w:hAnsiTheme="minorHAnsi"/>
                <w:b/>
                <w:sz w:val="18"/>
                <w:szCs w:val="18"/>
              </w:rPr>
              <w:t>Účinnosť odo dňa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12895">
              <w:rPr>
                <w:rFonts w:asciiTheme="minorHAnsi" w:hAnsiTheme="minorHAnsi"/>
                <w:b/>
                <w:sz w:val="18"/>
                <w:szCs w:val="18"/>
              </w:rPr>
              <w:t>Ruší VZN č. / poznámka</w:t>
            </w:r>
          </w:p>
        </w:tc>
      </w:tr>
      <w:tr w:rsidR="00A12895" w:rsidRPr="00A12895" w:rsidTr="007E1CB5">
        <w:trPr>
          <w:trHeight w:val="590"/>
        </w:trPr>
        <w:tc>
          <w:tcPr>
            <w:tcW w:w="833" w:type="dxa"/>
            <w:vMerge w:val="restart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2/2016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o nakladaní s komunálnymi odpadmi a drobnými stavebnými odpadmi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20.06.2016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79/2016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14.07.2016 podľa dňa zverejnenia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6/2013</w:t>
            </w:r>
          </w:p>
        </w:tc>
      </w:tr>
      <w:tr w:rsidR="00A12895" w:rsidRPr="00A12895" w:rsidTr="007E1CB5">
        <w:trPr>
          <w:trHeight w:val="306"/>
        </w:trPr>
        <w:tc>
          <w:tcPr>
            <w:tcW w:w="833" w:type="dxa"/>
            <w:vMerge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Príloha č. 2 k VZN 2/2016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</w:tr>
      <w:tr w:rsidR="00A12895" w:rsidRPr="00A12895" w:rsidTr="007E1CB5">
        <w:trPr>
          <w:trHeight w:val="268"/>
        </w:trPr>
        <w:tc>
          <w:tcPr>
            <w:tcW w:w="833" w:type="dxa"/>
            <w:vMerge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Príloha č. 1 k VZN 2/2016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</w:tr>
      <w:tr w:rsidR="00A12895" w:rsidRPr="00A12895" w:rsidTr="007E1CB5">
        <w:trPr>
          <w:trHeight w:val="282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1/2016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zásadách hospodárenia s majetkom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12.05.2016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61/2016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03.06.2016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2/2011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4/2015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miestnom poplatku za komunálne odpady a drobné stavebné odpady na území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26.11.2015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133/2015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01.01.2016 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(článok VIII od 01.07.2016)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5/2013</w:t>
            </w:r>
          </w:p>
        </w:tc>
      </w:tr>
      <w:tr w:rsidR="00A12895" w:rsidRPr="00A12895" w:rsidTr="007E1CB5">
        <w:trPr>
          <w:trHeight w:val="286"/>
        </w:trPr>
        <w:tc>
          <w:tcPr>
            <w:tcW w:w="833" w:type="dxa"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3/2015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sa určuje postup poskytovania dotácií z rozpočtu mesta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26.11.2015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132/2015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01.01.2016 podľa evidencie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8/2011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2/2015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poskytovaní jednorazovej dávky v hmotnej núdzi z rozpočtu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26.11.2015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131/2015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01.01.2016 podľa evidencie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1/2011</w:t>
            </w:r>
          </w:p>
        </w:tc>
      </w:tr>
      <w:tr w:rsidR="00A12895" w:rsidRPr="00A12895" w:rsidTr="007E1CB5">
        <w:trPr>
          <w:trHeight w:val="286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1/2015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podmienkach uskutočňovania územnej samosprávy v meste Stupava prostredníctvom zhromaždenia obyvateľov mesta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17.09.2015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104/2015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08.10.2015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podobné VZN ešte nebolo schválené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5/2014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pravidlách predaja v obchode a času prevádzky služieb na území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23.10.2014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B/358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11.11.2014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10/2011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 w:val="restart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4/2014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sa mení a dopĺňa Všeobecne záväzné nariadenie č. 1/2006 o vyhlásení záväzných častí územného plánu v znení neskorších zmien a doplnkov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02.07.2014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B/306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17.07.2014 podľa evidencie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Príloha č. 1 k VZN 4/2014 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sz w:val="18"/>
                <w:szCs w:val="18"/>
                <w:lang w:eastAsia="sk-SK"/>
              </w:rPr>
              <w:t>(grafická časť)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Príloha č. 2 k VZN 4/2014 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(záväzná časť)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 mesta Stupava, Zmeny a doplnky 1A/2012 (textová časť)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B/304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Zrušené uzn. č. 42/2015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3/2014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podmienkach predaja výrobkov a poskytovaní služieb na trhových miestach na území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27.03.2014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B/234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29.04.2014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4/2005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2/2014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Trhový poriadok pre trhovisko a príležitostné trhy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B/233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1/2014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evidencii pamätihodností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30.01.2014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B/219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20.02.2014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podobné VZN ešte nebolo schválené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4/2013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dani z nehnuteľnosti a dani za psa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29.10.2013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B/164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01.01.2014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5/2012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3/2013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miestnych daniach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 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B/163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6/2012, 5/2009,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4/2007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2/2013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organizácii miestneho referenda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27.06.2013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B/113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25.07.2013 podľa evidencie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podobné VZN ešte nebolo schválené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 w:val="restart"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1/2013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určení podrobností financovania a výšky dotácie na prevádzku a mzdy na žiaka ZUŠ, dieťa MŠ a dieťa školských zariadení v zriaďovateľskej pôsobnosti mesta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11.03.2013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B/54, 55 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03.04.2013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7/2010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Dodatok č. 2  k VZN 1/2013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26.03.2015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28/2015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25.04.2015  podľa dňa zverejnenia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Mal byť zrušený Dodatok č. 1 k VZN 1/2013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Dodatok č. 1  k VZN 1/2013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27.06.2013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B/114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22.07.2013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Mala byť zrušená Príloha č. 1 k VZN 1/2013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9/2012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Prevádzkový poriadok pohrebísk v Meste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13.12.2012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B/15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01.01.2013 podľa VZN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6/1999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8/2012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Určenie nových názvov ulíc v Meste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B/14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4/2012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ochrane pred zneužívaním alkoholických nápojov na území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15.11.2012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B/33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10.12.2012 podľa VZN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3/2009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lastRenderedPageBreak/>
              <w:t>3/2012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poskytovaní prepravnej služby a výške úhrady za poskytovanie prepravnej služby Mestom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10.05.2012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B/24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01.09.2012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podobné VZN ešte nebolo schválené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2/2012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podmienkach poskytovania finančných príspevkov a spôsobe realizácie opatrení sociálnoprávnej ochrany detí a sociálnej kurately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B/23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04.06.2012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podobné VZN ešte nebolo schválené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1/2012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verejnej kanalizácii a odpadových vodách, vodách z povrchového odtoku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B/22/2012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01.06.2012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podobné VZN ešte nebolo schválené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 w:val="restart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11/2011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sa určuje výška príspevku na čiastočnú úhradu nákladov v školách a školských zariadeniach v zriaďovateľskej pôsobnosti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27.10.2011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B/22/2011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01.01.2012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3/2008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Dodatok č. 3 k VZN 11/2011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26.06.2014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B/300/2014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01.09.2014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Dodatok č. 2 k VZN 11/2011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27.06.2013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B/115/2013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22.07.2013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08.07.2013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Dodatok č. 1 k VZN 11/2011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28.06.2012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B/31/2012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01.09.2012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9/2011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zmene územného plánu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27.10.2011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B/20/2011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14.12.2011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7/2011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poplatkoch za znečisťovanie ovzdušia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22.09.2011 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B/31/2011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10.10.2011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6/2004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17.10.2011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5/2011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podmienkach držania psov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B/29/2011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01.11.2011 podľa dňa zverejnenia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1/2003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4/2011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Zmena územného plánu mesta Stupava - júl 2011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26.05.2011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B/30,32,33/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2011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19.08.2011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3/2011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ochrane životného prostredia na území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26.05.2011 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B/27/2011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14.06.2011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21/1994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6/2010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určení názvov nových ulíc v meste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09.09.2010 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B/5/2010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28.09.2010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15.09.2010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2/2010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sa vyhlasuje záväzná časť územnoplánovacej dokumentácie ÚPN mesta Stupava – zmena a doplnok č.1/2007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25.02.2010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B/3/2010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15.3.2010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4/2009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poskytovaní priestoru na predvolebnú kampaň zo strany Mesta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30.04.2009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B/2/2009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20.05.2009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2/2008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 w:val="restart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2/2009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spôsobe určenia úhrady, výške úhrady a spôsobe jej platenia za opatrovateľskú službu a dovoz obedov, poskytované Mestom Stupava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29.01.2009 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B/4/2009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15.02.2009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7/2007 zverejnené od 02.02.2009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Dodatok č. 1 k VZN 2/2009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01.12.2011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B/6/2011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01.01.2012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1/2009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určení miesta a času zápisu dieťaťa na plnenie povinnej školskej dochádzky v základných školách, ktorých zriaďovateľom je Mesto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29.01.2009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B/3/2009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15.02.2009 podľa evidencie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02.02.2009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8/2008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zmeny územného plánu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18.12.2008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B/13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15.01.2009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ÚP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2/2007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sa vyhlasuje záväzná časť územného plánu mesta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11.10.2007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30.10.2007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1/2006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92D05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1/2006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Územný plán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20.04.2006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05.05.2006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1/1997,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4/2002,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5/2002,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2/2003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 w:val="restart"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4/2008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Rozpočtové pravidlá mesta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04.12.2008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B/4/2009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01.01.2009 podľa evidencie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Zrušené Zásady finančného hospodárenia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Príloha č. 1 k VZN 4/2008 (rozpočtový harmonogram)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vMerge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Príloha č. 2 k VZN 4/2008 (rozpočtová požiadavka)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vMerge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 w:val="restart"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1/2008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Určenie názvov nových ulíc v Meste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28.02.2008 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B/3/2008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15.03.2008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31.03.2008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vMerge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Príloha k VZN č. 1/2008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-||-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lastRenderedPageBreak/>
              <w:t>7/2005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určení názvu nových ulíc v meste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15.12.2005 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B/10/2005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15.12.2005 podľa VZN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21.12.2005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2/2005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určuje názov ulice v novej zástavbe na území mesta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30.06.2005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B/2/2005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19.07.2005 podľa evidencie</w:t>
            </w:r>
          </w:p>
        </w:tc>
        <w:tc>
          <w:tcPr>
            <w:tcW w:w="1304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02.01.2006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9/2004</w:t>
            </w:r>
          </w:p>
        </w:tc>
        <w:tc>
          <w:tcPr>
            <w:tcW w:w="4152" w:type="dxa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Školský obvod ZŠ kpt. J. Nálepku v Stupave</w:t>
            </w:r>
          </w:p>
        </w:tc>
        <w:tc>
          <w:tcPr>
            <w:tcW w:w="1037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01.07.2004 </w:t>
            </w:r>
          </w:p>
        </w:tc>
        <w:tc>
          <w:tcPr>
            <w:tcW w:w="1092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B/1/2004</w:t>
            </w:r>
          </w:p>
        </w:tc>
        <w:tc>
          <w:tcPr>
            <w:tcW w:w="1393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17.07.2004 podľa VZN</w:t>
            </w:r>
          </w:p>
        </w:tc>
        <w:tc>
          <w:tcPr>
            <w:tcW w:w="1304" w:type="dxa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13.07.2004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FFFF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4/2004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ktorým mesto určuje názvy ulíc v novej zástavbe na území mesta Stupava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 xml:space="preserve">01.04.2004 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B/3/2004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20.04.2004 podľa VZN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zverejnené od 26.04.2004</w:t>
            </w:r>
          </w:p>
        </w:tc>
      </w:tr>
      <w:tr w:rsidR="00A12895" w:rsidRPr="00A12895" w:rsidTr="007E1CB5">
        <w:trPr>
          <w:trHeight w:val="271"/>
        </w:trPr>
        <w:tc>
          <w:tcPr>
            <w:tcW w:w="833" w:type="dxa"/>
            <w:shd w:val="clear" w:color="auto" w:fill="C00000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3/1999</w:t>
            </w:r>
          </w:p>
        </w:tc>
        <w:tc>
          <w:tcPr>
            <w:tcW w:w="415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</w:pPr>
            <w:r w:rsidRPr="00A12895">
              <w:rPr>
                <w:rFonts w:asciiTheme="minorHAnsi" w:eastAsia="Times New Roman" w:hAnsiTheme="minorHAnsi" w:cs="Tahoma"/>
                <w:iCs/>
                <w:sz w:val="18"/>
                <w:szCs w:val="18"/>
                <w:lang w:eastAsia="sk-SK"/>
              </w:rPr>
              <w:t>o vykonávaní ochrannej deratizácie a dezinsekcie</w:t>
            </w:r>
          </w:p>
        </w:tc>
        <w:tc>
          <w:tcPr>
            <w:tcW w:w="1037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01.07.1999</w:t>
            </w:r>
          </w:p>
        </w:tc>
        <w:tc>
          <w:tcPr>
            <w:tcW w:w="1092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B/2/1999</w:t>
            </w:r>
          </w:p>
        </w:tc>
        <w:tc>
          <w:tcPr>
            <w:tcW w:w="1393" w:type="dxa"/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22.07.1999</w:t>
            </w:r>
          </w:p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12895">
              <w:rPr>
                <w:rFonts w:asciiTheme="minorHAnsi" w:hAnsiTheme="minorHAnsi"/>
                <w:sz w:val="18"/>
                <w:szCs w:val="18"/>
              </w:rPr>
              <w:t>podľa VZN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shd w:val="clear" w:color="auto" w:fill="auto"/>
          </w:tcPr>
          <w:p w:rsidR="00A12895" w:rsidRPr="00A12895" w:rsidRDefault="00A12895" w:rsidP="00A1289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12895" w:rsidRPr="00A12895" w:rsidRDefault="00A12895" w:rsidP="00A12895">
      <w:pPr>
        <w:spacing w:before="120"/>
        <w:rPr>
          <w:rFonts w:asciiTheme="minorHAnsi" w:hAnsiTheme="minorHAnsi"/>
          <w:sz w:val="16"/>
          <w:szCs w:val="16"/>
        </w:rPr>
      </w:pPr>
      <w:r w:rsidRPr="00A12895">
        <w:rPr>
          <w:rFonts w:asciiTheme="minorHAnsi" w:hAnsiTheme="minorHAnsi"/>
          <w:sz w:val="16"/>
          <w:szCs w:val="16"/>
        </w:rPr>
        <w:t>-||-  znamená opakovaný údaj, resp. taký istý údaj ako údaj uvedený v riadku nad ním,</w:t>
      </w:r>
    </w:p>
    <w:p w:rsidR="00A12895" w:rsidRPr="00A12895" w:rsidRDefault="00A12895" w:rsidP="00A12895">
      <w:pPr>
        <w:spacing w:before="120"/>
        <w:rPr>
          <w:rFonts w:asciiTheme="minorHAnsi" w:hAnsiTheme="minorHAnsi"/>
          <w:sz w:val="16"/>
          <w:szCs w:val="16"/>
        </w:rPr>
      </w:pPr>
      <w:r w:rsidRPr="00A12895">
        <w:rPr>
          <w:rFonts w:asciiTheme="minorHAnsi" w:hAnsiTheme="minorHAnsi"/>
          <w:sz w:val="16"/>
          <w:szCs w:val="16"/>
        </w:rPr>
        <w:t>- v poznámke je uvedený dátum zverejnenia iba v prípade keď nesedí dátum účinnosti a 15 dňová lehota od zverejnenia alebo vyvesenia,</w:t>
      </w:r>
    </w:p>
    <w:p w:rsidR="00A12895" w:rsidRPr="00A12895" w:rsidRDefault="00A12895" w:rsidP="00A12895">
      <w:pPr>
        <w:spacing w:before="120"/>
        <w:rPr>
          <w:rFonts w:asciiTheme="minorHAnsi" w:hAnsiTheme="minorHAnsi"/>
          <w:sz w:val="16"/>
          <w:szCs w:val="16"/>
        </w:rPr>
      </w:pPr>
      <w:r w:rsidRPr="00A12895">
        <w:rPr>
          <w:rFonts w:asciiTheme="minorHAnsi" w:hAnsiTheme="minorHAnsi"/>
          <w:sz w:val="16"/>
          <w:szCs w:val="16"/>
        </w:rPr>
        <w:t xml:space="preserve">- dátum účinnosti vychádza z dátumu uvedeného v konkrétnom VZN alebo z dátumu uvedeného v evidencii, </w:t>
      </w:r>
    </w:p>
    <w:p w:rsidR="00602097" w:rsidRDefault="00602097">
      <w:pPr>
        <w:spacing w:after="200"/>
        <w:jc w:val="left"/>
      </w:pPr>
    </w:p>
    <w:sectPr w:rsidR="00602097" w:rsidSect="0072034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F8" w:rsidRDefault="007542F8" w:rsidP="00720340">
      <w:pPr>
        <w:spacing w:after="0" w:line="240" w:lineRule="auto"/>
      </w:pPr>
      <w:r>
        <w:separator/>
      </w:r>
    </w:p>
  </w:endnote>
  <w:endnote w:type="continuationSeparator" w:id="0">
    <w:p w:rsidR="007542F8" w:rsidRDefault="007542F8" w:rsidP="007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940424"/>
      <w:docPartObj>
        <w:docPartGallery w:val="Page Numbers (Bottom of Page)"/>
        <w:docPartUnique/>
      </w:docPartObj>
    </w:sdtPr>
    <w:sdtEndPr/>
    <w:sdtContent>
      <w:p w:rsidR="007E1CB5" w:rsidRDefault="007E1C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39">
          <w:rPr>
            <w:noProof/>
          </w:rPr>
          <w:t>7</w:t>
        </w:r>
        <w:r>
          <w:fldChar w:fldCharType="end"/>
        </w:r>
      </w:p>
    </w:sdtContent>
  </w:sdt>
  <w:p w:rsidR="007E1CB5" w:rsidRDefault="007E1C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F8" w:rsidRDefault="007542F8" w:rsidP="00720340">
      <w:pPr>
        <w:spacing w:after="0" w:line="240" w:lineRule="auto"/>
      </w:pPr>
      <w:r>
        <w:separator/>
      </w:r>
    </w:p>
  </w:footnote>
  <w:footnote w:type="continuationSeparator" w:id="0">
    <w:p w:rsidR="007542F8" w:rsidRDefault="007542F8" w:rsidP="007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B5" w:rsidRDefault="007E1C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636"/>
    <w:multiLevelType w:val="hybridMultilevel"/>
    <w:tmpl w:val="CE5E61C4"/>
    <w:lvl w:ilvl="0" w:tplc="0C8A640E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193"/>
    <w:multiLevelType w:val="hybridMultilevel"/>
    <w:tmpl w:val="3F3C4C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076"/>
    <w:multiLevelType w:val="hybridMultilevel"/>
    <w:tmpl w:val="C974F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8E1"/>
    <w:multiLevelType w:val="hybridMultilevel"/>
    <w:tmpl w:val="5A7A4DFC"/>
    <w:lvl w:ilvl="0" w:tplc="10FCF096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0E1CCC"/>
    <w:multiLevelType w:val="hybridMultilevel"/>
    <w:tmpl w:val="2250C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0FA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8D8"/>
    <w:multiLevelType w:val="hybridMultilevel"/>
    <w:tmpl w:val="D8D8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F8F"/>
    <w:multiLevelType w:val="hybridMultilevel"/>
    <w:tmpl w:val="9DB4B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596E"/>
    <w:multiLevelType w:val="hybridMultilevel"/>
    <w:tmpl w:val="CBC27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1108"/>
    <w:multiLevelType w:val="hybridMultilevel"/>
    <w:tmpl w:val="DDFED3F4"/>
    <w:lvl w:ilvl="0" w:tplc="42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F51622"/>
    <w:multiLevelType w:val="hybridMultilevel"/>
    <w:tmpl w:val="D8D8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7078"/>
    <w:multiLevelType w:val="hybridMultilevel"/>
    <w:tmpl w:val="F2C04368"/>
    <w:lvl w:ilvl="0" w:tplc="3726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604D"/>
    <w:multiLevelType w:val="hybridMultilevel"/>
    <w:tmpl w:val="065AF506"/>
    <w:lvl w:ilvl="0" w:tplc="1A929E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494AB5"/>
    <w:multiLevelType w:val="hybridMultilevel"/>
    <w:tmpl w:val="4F2CAE54"/>
    <w:lvl w:ilvl="0" w:tplc="535EB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EE6"/>
    <w:multiLevelType w:val="hybridMultilevel"/>
    <w:tmpl w:val="D7A6B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77D2"/>
    <w:multiLevelType w:val="hybridMultilevel"/>
    <w:tmpl w:val="3C248C2C"/>
    <w:lvl w:ilvl="0" w:tplc="4F48D83E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41891"/>
    <w:multiLevelType w:val="hybridMultilevel"/>
    <w:tmpl w:val="4E9E5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0152"/>
    <w:multiLevelType w:val="hybridMultilevel"/>
    <w:tmpl w:val="7B7E1400"/>
    <w:lvl w:ilvl="0" w:tplc="92F89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454A"/>
    <w:multiLevelType w:val="hybridMultilevel"/>
    <w:tmpl w:val="B7C45CA8"/>
    <w:lvl w:ilvl="0" w:tplc="0C8A640E">
      <w:start w:val="32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05D022E"/>
    <w:multiLevelType w:val="hybridMultilevel"/>
    <w:tmpl w:val="D8D8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1E82"/>
    <w:multiLevelType w:val="hybridMultilevel"/>
    <w:tmpl w:val="DF5C7EDA"/>
    <w:lvl w:ilvl="0" w:tplc="56707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2245A"/>
    <w:multiLevelType w:val="hybridMultilevel"/>
    <w:tmpl w:val="5C5A7BE2"/>
    <w:lvl w:ilvl="0" w:tplc="35767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81C98"/>
    <w:multiLevelType w:val="hybridMultilevel"/>
    <w:tmpl w:val="64E89AD8"/>
    <w:lvl w:ilvl="0" w:tplc="AA00495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20"/>
  </w:num>
  <w:num w:numId="9">
    <w:abstractNumId w:val="14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21"/>
  </w:num>
  <w:num w:numId="16">
    <w:abstractNumId w:val="19"/>
  </w:num>
  <w:num w:numId="17">
    <w:abstractNumId w:val="16"/>
  </w:num>
  <w:num w:numId="18">
    <w:abstractNumId w:val="13"/>
  </w:num>
  <w:num w:numId="19">
    <w:abstractNumId w:val="11"/>
  </w:num>
  <w:num w:numId="20">
    <w:abstractNumId w:val="6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E6"/>
    <w:rsid w:val="00010F74"/>
    <w:rsid w:val="00016557"/>
    <w:rsid w:val="00024386"/>
    <w:rsid w:val="0004013F"/>
    <w:rsid w:val="00046794"/>
    <w:rsid w:val="00067A19"/>
    <w:rsid w:val="000873ED"/>
    <w:rsid w:val="000A7AD6"/>
    <w:rsid w:val="000B4F88"/>
    <w:rsid w:val="000C61EC"/>
    <w:rsid w:val="00104FBF"/>
    <w:rsid w:val="00107AA3"/>
    <w:rsid w:val="0012078E"/>
    <w:rsid w:val="0016430E"/>
    <w:rsid w:val="002051ED"/>
    <w:rsid w:val="00232180"/>
    <w:rsid w:val="002845C8"/>
    <w:rsid w:val="00290068"/>
    <w:rsid w:val="002936AE"/>
    <w:rsid w:val="00310D81"/>
    <w:rsid w:val="00324582"/>
    <w:rsid w:val="00325AC2"/>
    <w:rsid w:val="00327137"/>
    <w:rsid w:val="00355767"/>
    <w:rsid w:val="0035654A"/>
    <w:rsid w:val="003771D9"/>
    <w:rsid w:val="00377BC2"/>
    <w:rsid w:val="00390A3A"/>
    <w:rsid w:val="003A2A53"/>
    <w:rsid w:val="003A533B"/>
    <w:rsid w:val="003B7D91"/>
    <w:rsid w:val="003D40AB"/>
    <w:rsid w:val="003F5A6B"/>
    <w:rsid w:val="00404DC0"/>
    <w:rsid w:val="00455258"/>
    <w:rsid w:val="00455C21"/>
    <w:rsid w:val="00457E3E"/>
    <w:rsid w:val="00460D09"/>
    <w:rsid w:val="004812DC"/>
    <w:rsid w:val="00495BE6"/>
    <w:rsid w:val="00496B74"/>
    <w:rsid w:val="004A45F2"/>
    <w:rsid w:val="004C385E"/>
    <w:rsid w:val="004E0BCD"/>
    <w:rsid w:val="00510B3D"/>
    <w:rsid w:val="00524C21"/>
    <w:rsid w:val="00532B36"/>
    <w:rsid w:val="00556C49"/>
    <w:rsid w:val="005802F0"/>
    <w:rsid w:val="005912A9"/>
    <w:rsid w:val="005A630F"/>
    <w:rsid w:val="005B7833"/>
    <w:rsid w:val="00602097"/>
    <w:rsid w:val="0060666C"/>
    <w:rsid w:val="00610462"/>
    <w:rsid w:val="006A7525"/>
    <w:rsid w:val="006B5D4F"/>
    <w:rsid w:val="006C070A"/>
    <w:rsid w:val="006C739A"/>
    <w:rsid w:val="006D6C42"/>
    <w:rsid w:val="00707AF4"/>
    <w:rsid w:val="00707C3A"/>
    <w:rsid w:val="00720340"/>
    <w:rsid w:val="00721D77"/>
    <w:rsid w:val="007264A9"/>
    <w:rsid w:val="0074563D"/>
    <w:rsid w:val="007508F1"/>
    <w:rsid w:val="007542F8"/>
    <w:rsid w:val="00755B5A"/>
    <w:rsid w:val="007664C9"/>
    <w:rsid w:val="00772A7E"/>
    <w:rsid w:val="00796168"/>
    <w:rsid w:val="00797DE4"/>
    <w:rsid w:val="007A2EAC"/>
    <w:rsid w:val="007B43D8"/>
    <w:rsid w:val="007E1CB5"/>
    <w:rsid w:val="007E4E96"/>
    <w:rsid w:val="00807FED"/>
    <w:rsid w:val="00812F80"/>
    <w:rsid w:val="00816850"/>
    <w:rsid w:val="00817326"/>
    <w:rsid w:val="00880006"/>
    <w:rsid w:val="00882A52"/>
    <w:rsid w:val="008834FC"/>
    <w:rsid w:val="00885E39"/>
    <w:rsid w:val="008A5854"/>
    <w:rsid w:val="008F35BC"/>
    <w:rsid w:val="008F490B"/>
    <w:rsid w:val="00920979"/>
    <w:rsid w:val="00921B49"/>
    <w:rsid w:val="009349CD"/>
    <w:rsid w:val="0099479F"/>
    <w:rsid w:val="009B067C"/>
    <w:rsid w:val="009C363E"/>
    <w:rsid w:val="009F5179"/>
    <w:rsid w:val="00A11AAB"/>
    <w:rsid w:val="00A12895"/>
    <w:rsid w:val="00A151C4"/>
    <w:rsid w:val="00A23221"/>
    <w:rsid w:val="00A40ABD"/>
    <w:rsid w:val="00A625DE"/>
    <w:rsid w:val="00A74FA3"/>
    <w:rsid w:val="00A902A5"/>
    <w:rsid w:val="00AA1151"/>
    <w:rsid w:val="00AA50A8"/>
    <w:rsid w:val="00AE4289"/>
    <w:rsid w:val="00B02A0F"/>
    <w:rsid w:val="00B20D9D"/>
    <w:rsid w:val="00B41FCD"/>
    <w:rsid w:val="00B54349"/>
    <w:rsid w:val="00B60B12"/>
    <w:rsid w:val="00B65A45"/>
    <w:rsid w:val="00B80CA1"/>
    <w:rsid w:val="00B94AFF"/>
    <w:rsid w:val="00BA5032"/>
    <w:rsid w:val="00BA6E9B"/>
    <w:rsid w:val="00BB4560"/>
    <w:rsid w:val="00BE4420"/>
    <w:rsid w:val="00BF65D5"/>
    <w:rsid w:val="00BF6D93"/>
    <w:rsid w:val="00C0771D"/>
    <w:rsid w:val="00C4037A"/>
    <w:rsid w:val="00C42E41"/>
    <w:rsid w:val="00C455DF"/>
    <w:rsid w:val="00C80E09"/>
    <w:rsid w:val="00C8602E"/>
    <w:rsid w:val="00C93A93"/>
    <w:rsid w:val="00C957F2"/>
    <w:rsid w:val="00CD233A"/>
    <w:rsid w:val="00D235F1"/>
    <w:rsid w:val="00D61FB9"/>
    <w:rsid w:val="00D674E0"/>
    <w:rsid w:val="00DA53EA"/>
    <w:rsid w:val="00DC61D9"/>
    <w:rsid w:val="00DD03B6"/>
    <w:rsid w:val="00DE4886"/>
    <w:rsid w:val="00DE5B93"/>
    <w:rsid w:val="00E42E64"/>
    <w:rsid w:val="00E55A46"/>
    <w:rsid w:val="00E76337"/>
    <w:rsid w:val="00E77A31"/>
    <w:rsid w:val="00E875B6"/>
    <w:rsid w:val="00EE7C65"/>
    <w:rsid w:val="00EF3C17"/>
    <w:rsid w:val="00EF69A0"/>
    <w:rsid w:val="00F15465"/>
    <w:rsid w:val="00F34E91"/>
    <w:rsid w:val="00F43088"/>
    <w:rsid w:val="00F73B8F"/>
    <w:rsid w:val="00F90C1A"/>
    <w:rsid w:val="00F93168"/>
    <w:rsid w:val="00F9648B"/>
    <w:rsid w:val="00FB0234"/>
    <w:rsid w:val="00FB246E"/>
    <w:rsid w:val="00FD0655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9AAA9-B5FD-4969-8F68-776D60D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66C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666C"/>
    <w:pPr>
      <w:jc w:val="center"/>
      <w:outlineLvl w:val="0"/>
    </w:pPr>
    <w:rPr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666C"/>
    <w:rPr>
      <w:rFonts w:ascii="Times New Roman" w:eastAsia="Calibri" w:hAnsi="Times New Roman" w:cs="Times New Roman"/>
      <w:b/>
      <w:sz w:val="32"/>
      <w:szCs w:val="32"/>
    </w:rPr>
  </w:style>
  <w:style w:type="paragraph" w:styleId="Odsekzoznamu">
    <w:name w:val="List Paragraph"/>
    <w:basedOn w:val="Normlny"/>
    <w:uiPriority w:val="34"/>
    <w:qFormat/>
    <w:rsid w:val="0060666C"/>
    <w:pPr>
      <w:ind w:left="720"/>
      <w:contextualSpacing/>
    </w:pPr>
  </w:style>
  <w:style w:type="character" w:customStyle="1" w:styleId="apple-converted-space">
    <w:name w:val="apple-converted-space"/>
    <w:rsid w:val="00067A19"/>
  </w:style>
  <w:style w:type="paragraph" w:styleId="Zarkazkladnhotextu">
    <w:name w:val="Body Text Indent"/>
    <w:basedOn w:val="Normlny"/>
    <w:link w:val="ZarkazkladnhotextuChar"/>
    <w:uiPriority w:val="99"/>
    <w:unhideWhenUsed/>
    <w:rsid w:val="00BB4560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4560"/>
    <w:rPr>
      <w:rFonts w:ascii="Times New Roman" w:eastAsia="Calibri" w:hAnsi="Times New Roman" w:cs="Times New Roman"/>
      <w:sz w:val="24"/>
    </w:rPr>
  </w:style>
  <w:style w:type="character" w:customStyle="1" w:styleId="ra">
    <w:name w:val="ra"/>
    <w:rsid w:val="00BB4560"/>
  </w:style>
  <w:style w:type="paragraph" w:styleId="Zkladntext">
    <w:name w:val="Body Text"/>
    <w:basedOn w:val="Normlny"/>
    <w:link w:val="ZkladntextChar"/>
    <w:uiPriority w:val="99"/>
    <w:unhideWhenUsed/>
    <w:rsid w:val="00BB4560"/>
  </w:style>
  <w:style w:type="character" w:customStyle="1" w:styleId="ZkladntextChar">
    <w:name w:val="Základný text Char"/>
    <w:basedOn w:val="Predvolenpsmoodseku"/>
    <w:link w:val="Zkladntext"/>
    <w:uiPriority w:val="99"/>
    <w:rsid w:val="00BB4560"/>
    <w:rPr>
      <w:rFonts w:ascii="Times New Roman" w:eastAsia="Calibri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BB456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31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9C363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340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340"/>
    <w:rPr>
      <w:rFonts w:ascii="Times New Roman" w:eastAsia="Calibri" w:hAnsi="Times New Roman" w:cs="Times New Roman"/>
      <w:sz w:val="24"/>
    </w:rPr>
  </w:style>
  <w:style w:type="paragraph" w:styleId="Normlnywebov">
    <w:name w:val="Normal (Web)"/>
    <w:basedOn w:val="Normlny"/>
    <w:uiPriority w:val="99"/>
    <w:unhideWhenUsed/>
    <w:rsid w:val="005A630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sk-SK"/>
    </w:rPr>
  </w:style>
  <w:style w:type="character" w:styleId="Zvraznenie">
    <w:name w:val="Emphasis"/>
    <w:uiPriority w:val="20"/>
    <w:qFormat/>
    <w:rsid w:val="005A630F"/>
    <w:rPr>
      <w:i/>
      <w:iCs/>
    </w:rPr>
  </w:style>
  <w:style w:type="character" w:styleId="Siln">
    <w:name w:val="Strong"/>
    <w:uiPriority w:val="22"/>
    <w:qFormat/>
    <w:rsid w:val="005A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ava.sk/web/src/index.php?lg=sk&amp;pgid=2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F775-2C3A-4C2A-AC3B-D2853070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výsledku kontroly VZN</vt:lpstr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výsledku kontroly VZN</dc:title>
  <dc:creator>margita.hricova@stupava.sk</dc:creator>
  <cp:keywords>9/2016</cp:keywords>
  <dc:description>§ 6 zákona o obecnom zriadení</dc:description>
  <cp:lastModifiedBy>Loviskova Zuzana</cp:lastModifiedBy>
  <cp:revision>3</cp:revision>
  <cp:lastPrinted>2016-09-08T10:49:00Z</cp:lastPrinted>
  <dcterms:created xsi:type="dcterms:W3CDTF">2016-09-08T11:09:00Z</dcterms:created>
  <dcterms:modified xsi:type="dcterms:W3CDTF">2016-09-08T11:09:00Z</dcterms:modified>
</cp:coreProperties>
</file>